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推进化解产能工作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按照方案工作部署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区工信局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积极发挥牵头作用，协同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各片区管委会、区生态环境分局、自然资源分局等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责任单位严格按照相关法规标准要求，督促企业开展隐患排查治理，强化安全监管执法，并全面排查辖区企业设备和工艺，督促企业按期淘汰禁止使用的设备及工艺，鼓励企业进行技术改造和产业调整，有效提升工业企业生产条件和生产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（一）开展常规摸排工作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截止2021年3月31日，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我区</w:t>
      </w:r>
      <w:r>
        <w:rPr>
          <w:rFonts w:ascii="Times New Roman" w:hAnsi="Times New Roman" w:eastAsia="方正仿宋_GBK" w:cs="Times New Roman"/>
          <w:sz w:val="32"/>
          <w:szCs w:val="32"/>
        </w:rPr>
        <w:t>借助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安全</w:t>
      </w:r>
      <w:r>
        <w:rPr>
          <w:rFonts w:ascii="Times New Roman" w:hAnsi="Times New Roman" w:eastAsia="方正仿宋_GBK" w:cs="Times New Roman"/>
          <w:sz w:val="32"/>
          <w:szCs w:val="32"/>
        </w:rPr>
        <w:t>日常监督检查、“企业服务月”企业大走访、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日常</w:t>
      </w:r>
      <w:r>
        <w:rPr>
          <w:rFonts w:ascii="Times New Roman" w:hAnsi="Times New Roman" w:eastAsia="方正仿宋_GBK" w:cs="Times New Roman"/>
          <w:sz w:val="32"/>
          <w:szCs w:val="32"/>
        </w:rPr>
        <w:t>调研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方正仿宋_GBK" w:cs="Times New Roman"/>
          <w:sz w:val="32"/>
          <w:szCs w:val="32"/>
        </w:rPr>
        <w:t>活动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辖区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企业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累计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进行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走访摸排30余次；联合各片区管委会、各相关委办局进行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全覆盖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专项排查，暂未发现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装备行业、纺织服装行业、轻工行业、电子产品制造业存在高污染、高能耗、高排放的项目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严把项目准入，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堵截源头。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发改委、招商局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自然资源局、生态环境局等多部分行程项目联审、联批机制，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在投资项目落地审批环节、招商引资环节禁止“三高”项目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和落后产能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审批及引入，将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落后产产能和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“三高”项目落地从源头杜绝。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加快传统产业改造提升工作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"/>
        </w:rPr>
        <w:t>2021年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积极申请自治区节能减排专项资金，对通过技改进行淘汰落后产能工作的企业进行奖励，大力推进落实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"/>
        </w:rPr>
        <w:t>企业技改，推荐辖区3家企业申报自治区级第五批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绿色工厂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"/>
        </w:rPr>
        <w:t>下一步，我局将持续严格按照自治区、市相关部门的要求加大去产能工作力度，严格开展进行不间断摸排整治，持续做好我区去产能工作。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DC3F333-0885-4267-B574-4E5E62643CB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69783A7-9C28-43D9-A6F4-E406C41ED8F6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4EE44A1-4FBD-425A-BBEB-0D758F6C5D06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35B193C-9661-4E1C-B6A3-EE02D3CCA2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70F23"/>
    <w:rsid w:val="6752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spacing w:after="4" w:line="225" w:lineRule="auto"/>
      <w:ind w:left="420" w:hanging="420"/>
    </w:pPr>
    <w:rPr>
      <w:rFonts w:hint="eastAsia" w:ascii="微软雅黑" w:hAnsi="微软雅黑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SHANG</dc:creator>
  <cp:lastModifiedBy>百器</cp:lastModifiedBy>
  <dcterms:modified xsi:type="dcterms:W3CDTF">2021-04-08T11:55:28Z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