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outlineLvl w:val="1"/>
        <w:rPr>
          <w:rFonts w:hint="eastAsia" w:ascii="方正仿宋_GBK" w:hAnsi="方正仿宋_GBK" w:eastAsia="方正仿宋_GBK" w:cs="方正仿宋_GBK"/>
          <w:spacing w:val="-12"/>
          <w:sz w:val="32"/>
          <w:szCs w:val="32"/>
          <w:lang w:val="en-US" w:eastAsia="zh-CN"/>
        </w:rPr>
      </w:pPr>
      <w:r>
        <w:rPr>
          <w:rFonts w:hint="eastAsia" w:ascii="方正仿宋_GBK" w:hAnsi="方正仿宋_GBK" w:eastAsia="方正仿宋_GBK" w:cs="方正仿宋_GBK"/>
          <w:spacing w:val="-12"/>
          <w:sz w:val="32"/>
          <w:szCs w:val="32"/>
          <w:lang w:val="en-US" w:eastAsia="zh-CN"/>
        </w:rPr>
        <w:t>附件</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outlineLvl w:val="1"/>
        <w:rPr>
          <w:rFonts w:hint="eastAsia" w:ascii="方正小标宋_GBK" w:hAnsi="方正小标宋_GBK" w:eastAsia="方正小标宋_GBK" w:cs="方正小标宋_GBK"/>
          <w:spacing w:val="-12"/>
          <w:sz w:val="44"/>
          <w:szCs w:val="44"/>
        </w:rPr>
      </w:pPr>
      <w:r>
        <w:rPr>
          <w:rFonts w:hint="eastAsia" w:ascii="方正小标宋_GBK" w:hAnsi="方正小标宋_GBK" w:eastAsia="方正小标宋_GBK" w:cs="方正小标宋_GBK"/>
          <w:spacing w:val="-12"/>
          <w:sz w:val="44"/>
          <w:szCs w:val="44"/>
        </w:rPr>
        <w:t>不合格项目小知识</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jc w:val="both"/>
        <w:textAlignment w:val="auto"/>
        <w:rPr>
          <w:rFonts w:hint="default" w:ascii="Times New Roman" w:hAnsi="Times New Roman" w:eastAsia="方正黑体_GBK" w:cs="Times New Roman"/>
          <w:color w:val="auto"/>
          <w:kern w:val="0"/>
          <w:sz w:val="32"/>
          <w:szCs w:val="32"/>
          <w:lang w:val="en-US" w:eastAsia="zh-CN" w:bidi="ar-SA"/>
        </w:rPr>
      </w:pPr>
      <w:r>
        <w:rPr>
          <w:rFonts w:hint="default" w:ascii="Times New Roman" w:hAnsi="Times New Roman" w:eastAsia="方正黑体_GBK" w:cs="Times New Roman"/>
          <w:color w:val="auto"/>
          <w:kern w:val="0"/>
          <w:sz w:val="32"/>
          <w:szCs w:val="32"/>
          <w:lang w:val="en-US" w:eastAsia="zh-CN" w:bidi="ar-SA"/>
        </w:rPr>
        <w:t>一、地西泮</w:t>
      </w:r>
    </w:p>
    <w:p>
      <w:pPr>
        <w:keepNext w:val="0"/>
        <w:keepLines w:val="0"/>
        <w:pageBreakBefore w:val="0"/>
        <w:kinsoku/>
        <w:wordWrap/>
        <w:overflowPunct/>
        <w:topLinePunct w:val="0"/>
        <w:autoSpaceDE/>
        <w:autoSpaceDN/>
        <w:bidi w:val="0"/>
        <w:spacing w:after="0" w:line="560" w:lineRule="exact"/>
        <w:ind w:leftChars="0"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地西泮又名安定，为镇静剂类药物，主要用于焦虑、镇静催眠，还可用于抗癫痫和抗惊厥。地西泮可以降低新鲜活鱼对外界的感知能力，降低新陈代谢，保证其经过运输后仍然鲜活，但地西泮在鱼体内残留是永久性的，它可以通过食物链传递给人类。《食品安全国家标准 食品中兽药最大残留限量》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GB 31650-2019</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中规定，地西泮在动物性食品中不得检出。地西泮</w:t>
      </w:r>
      <w:r>
        <w:rPr>
          <w:rFonts w:hint="default" w:ascii="Times New Roman" w:hAnsi="Times New Roman" w:eastAsia="方正仿宋_GBK" w:cs="Times New Roman"/>
          <w:color w:val="auto"/>
          <w:sz w:val="32"/>
          <w:szCs w:val="32"/>
          <w:lang w:eastAsia="zh-CN"/>
        </w:rPr>
        <w:t>超标的原因可能是养殖户在养殖过程中违规使用。</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jc w:val="both"/>
        <w:textAlignment w:val="auto"/>
        <w:rPr>
          <w:rFonts w:hint="default" w:ascii="Times New Roman" w:hAnsi="Times New Roman" w:eastAsia="方正黑体_GBK" w:cs="Times New Roman"/>
          <w:color w:val="auto"/>
          <w:kern w:val="0"/>
          <w:sz w:val="32"/>
          <w:szCs w:val="32"/>
          <w:lang w:val="en-US" w:eastAsia="zh-CN" w:bidi="ar-SA"/>
        </w:rPr>
      </w:pPr>
      <w:r>
        <w:rPr>
          <w:rFonts w:hint="default" w:ascii="Times New Roman" w:hAnsi="Times New Roman" w:eastAsia="方正黑体_GBK" w:cs="Times New Roman"/>
          <w:color w:val="auto"/>
          <w:kern w:val="0"/>
          <w:sz w:val="32"/>
          <w:szCs w:val="32"/>
          <w:lang w:val="en-US" w:eastAsia="zh-CN" w:bidi="ar-SA"/>
        </w:rPr>
        <w:t>二、氟苯尼考</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氟苯尼考又称氟甲砜霉素</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是农业部批准使用的动物专用抗菌药，主要用于敏感细菌所致的猪、鸡、鱼的细菌性疾病，尤其对呼吸系统感染和肠道感染疗效明显。《食品安全国家标准 食品中兽药最大残留限量》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GB 31650-2019</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中规定，氟苯尼考在产蛋鸡中禁用（鸡蛋中不得检出）。检出氟苯尼考的原因，可能是养殖户在养殖过程中违规使用相关兽药。</w:t>
      </w:r>
    </w:p>
    <w:p>
      <w:pPr>
        <w:keepNext w:val="0"/>
        <w:keepLines w:val="0"/>
        <w:pageBreakBefore w:val="0"/>
        <w:numPr>
          <w:ilvl w:val="0"/>
          <w:numId w:val="0"/>
        </w:numPr>
        <w:kinsoku/>
        <w:wordWrap/>
        <w:overflowPunct/>
        <w:topLinePunct w:val="0"/>
        <w:autoSpaceDE/>
        <w:autoSpaceDN/>
        <w:bidi w:val="0"/>
        <w:spacing w:after="0" w:line="560" w:lineRule="exact"/>
        <w:ind w:leftChars="0" w:firstLine="640" w:firstLineChars="200"/>
        <w:textAlignment w:val="baseline"/>
        <w:outlineLvl w:val="9"/>
        <w:rPr>
          <w:rFonts w:hint="default" w:ascii="Times New Roman" w:hAnsi="Times New Roman" w:eastAsia="方正黑体_GBK" w:cs="Times New Roman"/>
          <w:color w:val="auto"/>
          <w:kern w:val="0"/>
          <w:sz w:val="32"/>
          <w:szCs w:val="32"/>
          <w:lang w:val="en-US" w:eastAsia="zh-CN" w:bidi="ar-SA"/>
        </w:rPr>
      </w:pPr>
      <w:r>
        <w:rPr>
          <w:rFonts w:hint="default" w:ascii="Times New Roman" w:hAnsi="Times New Roman" w:eastAsia="方正黑体_GBK" w:cs="Times New Roman"/>
          <w:color w:val="auto"/>
          <w:sz w:val="32"/>
          <w:szCs w:val="32"/>
          <w:lang w:eastAsia="zh-CN"/>
        </w:rPr>
        <w:t>三、</w:t>
      </w:r>
      <w:r>
        <w:rPr>
          <w:rFonts w:hint="default" w:ascii="Times New Roman" w:hAnsi="Times New Roman" w:eastAsia="方正黑体_GBK" w:cs="Times New Roman"/>
          <w:color w:val="auto"/>
          <w:sz w:val="32"/>
          <w:szCs w:val="32"/>
          <w:lang w:val="en-US" w:eastAsia="zh-CN"/>
        </w:rPr>
        <w:t>4-氯苯氧乙酸钠（以4-氯苯氧乙酸计）</w:t>
      </w:r>
    </w:p>
    <w:p>
      <w:pPr>
        <w:keepNext w:val="0"/>
        <w:keepLines w:val="0"/>
        <w:pageBreakBefore w:val="0"/>
        <w:numPr>
          <w:ilvl w:val="0"/>
          <w:numId w:val="0"/>
        </w:numPr>
        <w:kinsoku/>
        <w:wordWrap/>
        <w:overflowPunct/>
        <w:topLinePunct w:val="0"/>
        <w:autoSpaceDE/>
        <w:autoSpaceDN/>
        <w:bidi w:val="0"/>
        <w:spacing w:after="0" w:line="560" w:lineRule="exact"/>
        <w:ind w:leftChars="0" w:firstLine="640" w:firstLineChars="200"/>
        <w:outlineLvl w:val="9"/>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sz w:val="32"/>
          <w:szCs w:val="32"/>
          <w:lang w:val="en-US" w:eastAsia="zh-CN"/>
        </w:rPr>
        <w:t>4-氯苯氧乙酸钠</w:t>
      </w:r>
      <w:r>
        <w:rPr>
          <w:rFonts w:hint="default" w:ascii="Times New Roman" w:hAnsi="Times New Roman" w:eastAsia="方正仿宋_GBK" w:cs="Times New Roman"/>
          <w:color w:val="auto"/>
          <w:kern w:val="2"/>
          <w:sz w:val="32"/>
          <w:szCs w:val="32"/>
          <w:highlight w:val="none"/>
          <w:lang w:val="en-US" w:eastAsia="zh-CN" w:bidi="ar-SA"/>
        </w:rPr>
        <w:t>属广谱性植物生长调节剂，可促进植物细胞生长，主要用于无根豆芽的生长调节剂。</w:t>
      </w:r>
      <w:r>
        <w:rPr>
          <w:rFonts w:hint="default" w:ascii="Times New Roman" w:hAnsi="Times New Roman" w:eastAsia="方正仿宋_GBK" w:cs="Times New Roman"/>
          <w:color w:val="auto"/>
          <w:sz w:val="32"/>
          <w:szCs w:val="32"/>
        </w:rPr>
        <w:t>《国家食品药品监督管理总局 农业部 国家卫生和计划生育委员会关于豆芽生产过程中禁止使用6-苄基腺嘌呤等物质的公告》（2015年 第11号）中规定，生产者不得在豆芽生产过程中使用</w:t>
      </w:r>
      <w:r>
        <w:rPr>
          <w:rFonts w:hint="default" w:ascii="Times New Roman" w:hAnsi="Times New Roman" w:eastAsia="方正仿宋_GBK" w:cs="Times New Roman"/>
          <w:color w:val="auto"/>
          <w:sz w:val="32"/>
          <w:szCs w:val="32"/>
          <w:lang w:val="en-US" w:eastAsia="zh-CN"/>
        </w:rPr>
        <w:t>4-氯苯氧乙酸钠</w:t>
      </w:r>
      <w:r>
        <w:rPr>
          <w:rFonts w:hint="default" w:ascii="Times New Roman" w:hAnsi="Times New Roman" w:eastAsia="方正仿宋_GBK" w:cs="Times New Roman"/>
          <w:color w:val="auto"/>
          <w:sz w:val="32"/>
          <w:szCs w:val="32"/>
        </w:rPr>
        <w:t>等物质，豆芽经营者不得经营含有</w:t>
      </w:r>
      <w:r>
        <w:rPr>
          <w:rFonts w:hint="default" w:ascii="Times New Roman" w:hAnsi="Times New Roman" w:eastAsia="方正仿宋_GBK" w:cs="Times New Roman"/>
          <w:color w:val="auto"/>
          <w:sz w:val="32"/>
          <w:szCs w:val="32"/>
          <w:lang w:val="en-US" w:eastAsia="zh-CN"/>
        </w:rPr>
        <w:t>4-氯苯氧乙酸钠</w:t>
      </w:r>
      <w:r>
        <w:rPr>
          <w:rFonts w:hint="default" w:ascii="Times New Roman" w:hAnsi="Times New Roman" w:eastAsia="方正仿宋_GBK" w:cs="Times New Roman"/>
          <w:color w:val="auto"/>
          <w:sz w:val="32"/>
          <w:szCs w:val="32"/>
          <w:lang w:eastAsia="zh-CN"/>
        </w:rPr>
        <w:t>等</w:t>
      </w:r>
      <w:r>
        <w:rPr>
          <w:rFonts w:hint="default" w:ascii="Times New Roman" w:hAnsi="Times New Roman" w:eastAsia="方正仿宋_GBK" w:cs="Times New Roman"/>
          <w:color w:val="auto"/>
          <w:sz w:val="32"/>
          <w:szCs w:val="32"/>
        </w:rPr>
        <w:t>物质的豆芽。检出</w:t>
      </w:r>
      <w:r>
        <w:rPr>
          <w:rFonts w:hint="default" w:ascii="Times New Roman" w:hAnsi="Times New Roman" w:eastAsia="方正仿宋_GBK" w:cs="Times New Roman"/>
          <w:color w:val="auto"/>
          <w:sz w:val="32"/>
          <w:szCs w:val="32"/>
          <w:lang w:val="en-US" w:eastAsia="zh-CN"/>
        </w:rPr>
        <w:t>4-氯苯氧乙酸钠</w:t>
      </w:r>
      <w:r>
        <w:rPr>
          <w:rFonts w:hint="default" w:ascii="Times New Roman" w:hAnsi="Times New Roman" w:eastAsia="方正仿宋_GBK" w:cs="Times New Roman"/>
          <w:color w:val="auto"/>
          <w:sz w:val="32"/>
          <w:szCs w:val="32"/>
        </w:rPr>
        <w:t>的原因，可能是生产者为提高产量，从而违规使用相关农药。</w:t>
      </w:r>
    </w:p>
    <w:p>
      <w:pPr>
        <w:keepNext w:val="0"/>
        <w:keepLines w:val="0"/>
        <w:pageBreakBefore w:val="0"/>
        <w:widowControl/>
        <w:numPr>
          <w:ilvl w:val="0"/>
          <w:numId w:val="0"/>
        </w:numPr>
        <w:kinsoku/>
        <w:wordWrap/>
        <w:overflowPunct/>
        <w:topLinePunct w:val="0"/>
        <w:autoSpaceDE/>
        <w:autoSpaceDN/>
        <w:bidi w:val="0"/>
        <w:spacing w:after="0" w:line="560" w:lineRule="exact"/>
        <w:ind w:leftChars="0" w:firstLine="640" w:firstLineChars="200"/>
        <w:jc w:val="left"/>
        <w:outlineLvl w:val="9"/>
        <w:rPr>
          <w:rFonts w:hint="default" w:ascii="Times New Roman" w:hAnsi="Times New Roman" w:eastAsia="方正黑体_GBK" w:cs="Times New Roman"/>
          <w:color w:val="auto"/>
          <w:sz w:val="32"/>
          <w:szCs w:val="32"/>
          <w:lang w:eastAsia="zh-CN" w:bidi="ar"/>
        </w:rPr>
      </w:pPr>
      <w:r>
        <w:rPr>
          <w:rFonts w:hint="default" w:ascii="Times New Roman" w:hAnsi="Times New Roman" w:eastAsia="方正黑体_GBK" w:cs="Times New Roman"/>
          <w:color w:val="auto"/>
          <w:sz w:val="32"/>
          <w:szCs w:val="32"/>
          <w:lang w:eastAsia="zh-CN" w:bidi="ar"/>
        </w:rPr>
        <w:t>四、恩诺沙星</w:t>
      </w:r>
    </w:p>
    <w:p>
      <w:pPr>
        <w:pStyle w:val="5"/>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leftChars="0" w:right="0" w:firstLine="620" w:firstLineChars="0"/>
        <w:jc w:val="both"/>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恩诺沙星属于氟喹诺酮类药物，是一类人工合成的广谱抗菌药，用于治疗动物的皮肤感染、呼吸道感染等，是动物专属用药。《食品安全国家标准 食品中兽药最大残留限量》（GB 31650-2019）中规定，恩诺沙星在牛、禽和其他动物的肌肉中的最高残留限量为100 μg/kg。恩诺沙星超标的原因，可能是养殖户在养殖过程中违规使用相关兽药。</w:t>
      </w:r>
    </w:p>
    <w:p>
      <w:pPr>
        <w:keepNext w:val="0"/>
        <w:keepLines w:val="0"/>
        <w:pageBreakBefore w:val="0"/>
        <w:widowControl w:val="0"/>
        <w:numPr>
          <w:ilvl w:val="0"/>
          <w:numId w:val="0"/>
        </w:numPr>
        <w:kinsoku/>
        <w:wordWrap/>
        <w:overflowPunct/>
        <w:topLinePunct w:val="0"/>
        <w:autoSpaceDE/>
        <w:autoSpaceDN/>
        <w:bidi w:val="0"/>
        <w:spacing w:after="0" w:line="560" w:lineRule="exact"/>
        <w:ind w:leftChars="0" w:firstLine="640" w:firstLineChars="200"/>
        <w:jc w:val="both"/>
        <w:rPr>
          <w:rFonts w:hint="default" w:ascii="Times New Roman" w:hAnsi="Times New Roman" w:eastAsia="方正黑体_GBK" w:cs="Times New Roman"/>
          <w:color w:val="auto"/>
          <w:sz w:val="32"/>
          <w:szCs w:val="32"/>
          <w:lang w:eastAsia="zh-CN" w:bidi="ar"/>
        </w:rPr>
      </w:pPr>
      <w:r>
        <w:rPr>
          <w:rFonts w:hint="default" w:ascii="Times New Roman" w:hAnsi="Times New Roman" w:eastAsia="方正黑体_GBK" w:cs="Times New Roman"/>
          <w:color w:val="auto"/>
          <w:sz w:val="32"/>
          <w:szCs w:val="32"/>
          <w:lang w:eastAsia="zh-CN" w:bidi="ar"/>
        </w:rPr>
        <w:t>五、毒死蜱</w:t>
      </w:r>
    </w:p>
    <w:p>
      <w:pPr>
        <w:keepNext w:val="0"/>
        <w:keepLines w:val="0"/>
        <w:pageBreakBefore w:val="0"/>
        <w:widowControl w:val="0"/>
        <w:numPr>
          <w:ilvl w:val="0"/>
          <w:numId w:val="0"/>
        </w:numPr>
        <w:kinsoku/>
        <w:wordWrap/>
        <w:overflowPunct/>
        <w:topLinePunct w:val="0"/>
        <w:autoSpaceDE/>
        <w:autoSpaceDN/>
        <w:bidi w:val="0"/>
        <w:spacing w:after="0" w:line="560" w:lineRule="exact"/>
        <w:ind w:leftChars="0" w:firstLine="640"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毒死蜱，又名氯蜱硫磷，目前是全世界使用最广泛的有机磷酸酯杀虫剂之一，具有触杀、胃毒和熏蒸等作用。《食品安全国家标准 食品中农药最大残留限量》（GB 2763</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2016）中规定，芹菜中毒死蜱残留限量值不得超过0.05 mg/kg</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毒死蜱超标的原因，可能是菜农不了解使用农药的安全间隔期，违规滥用农药。</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Chars="0" w:right="0" w:rightChars="0" w:firstLine="640" w:firstLineChars="200"/>
        <w:rPr>
          <w:rStyle w:val="8"/>
          <w:rFonts w:hint="default" w:ascii="Times New Roman" w:hAnsi="Times New Roman" w:eastAsia="方正黑体_GBK" w:cs="Times New Roman"/>
          <w:b w:val="0"/>
          <w:bCs/>
          <w:i w:val="0"/>
          <w:caps w:val="0"/>
          <w:color w:val="auto"/>
          <w:spacing w:val="0"/>
          <w:sz w:val="32"/>
          <w:szCs w:val="32"/>
          <w:shd w:val="clear" w:fill="FFFFFF"/>
        </w:rPr>
      </w:pPr>
      <w:r>
        <w:rPr>
          <w:rStyle w:val="8"/>
          <w:rFonts w:hint="default" w:ascii="Times New Roman" w:hAnsi="Times New Roman" w:eastAsia="方正黑体_GBK" w:cs="Times New Roman"/>
          <w:b w:val="0"/>
          <w:bCs/>
          <w:i w:val="0"/>
          <w:caps w:val="0"/>
          <w:color w:val="auto"/>
          <w:spacing w:val="0"/>
          <w:sz w:val="32"/>
          <w:szCs w:val="32"/>
          <w:shd w:val="clear" w:fill="FFFFFF"/>
          <w:lang w:eastAsia="zh-CN"/>
        </w:rPr>
        <w:t>六、</w:t>
      </w:r>
      <w:r>
        <w:rPr>
          <w:rStyle w:val="8"/>
          <w:rFonts w:hint="default" w:ascii="Times New Roman" w:hAnsi="Times New Roman" w:eastAsia="方正黑体_GBK" w:cs="Times New Roman"/>
          <w:b w:val="0"/>
          <w:bCs/>
          <w:i w:val="0"/>
          <w:caps w:val="0"/>
          <w:color w:val="auto"/>
          <w:spacing w:val="0"/>
          <w:sz w:val="32"/>
          <w:szCs w:val="32"/>
          <w:shd w:val="clear" w:fill="FFFFFF"/>
        </w:rPr>
        <w:t>吡虫啉</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Chars="0" w:right="0" w:rightChars="0" w:firstLine="640" w:firstLineChars="200"/>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auto"/>
          <w:spacing w:val="0"/>
          <w:sz w:val="32"/>
          <w:szCs w:val="32"/>
          <w:shd w:val="clear" w:fill="FFFFFF"/>
        </w:rPr>
        <w:t>吡虫啉是烟碱类超高效杀虫剂，具有广谱、高效、低毒、低残留，害虫不易产生抗性，并有触杀、胃毒和内吸等多重作用。害虫接触药剂后，中枢神经正常传导受阻，使其麻痹死亡。产品速效性好，药后1天即有较高的防效，残留期长达25天左右。药效和温度呈正相关，温度高，杀虫效果好。主要用于防治刺吸式口器害虫。《食品安全国家标准 食品中农药最大残留限量》（GB 2763—2019）中规定，香蕉中的最大残留限量为0．05mg／kg。不慎食用和长期过量食用吡虫啉超标的食物对人体有害。吡虫啉超标的原因可能是由于种植户未严格按照农业使用安全间隔期进行采摘所致。</w:t>
      </w:r>
    </w:p>
    <w:p>
      <w:pPr>
        <w:keepNext w:val="0"/>
        <w:keepLines w:val="0"/>
        <w:pageBreakBefore w:val="0"/>
        <w:kinsoku/>
        <w:wordWrap/>
        <w:overflowPunct/>
        <w:topLinePunct w:val="0"/>
        <w:autoSpaceDE/>
        <w:autoSpaceDN/>
        <w:bidi w:val="0"/>
        <w:spacing w:after="0" w:line="560" w:lineRule="exact"/>
        <w:ind w:leftChars="0"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lang w:eastAsia="zh-CN"/>
        </w:rPr>
        <w:t>七</w:t>
      </w:r>
      <w:r>
        <w:rPr>
          <w:rFonts w:hint="default" w:ascii="Times New Roman" w:hAnsi="Times New Roman" w:eastAsia="方正黑体_GBK" w:cs="Times New Roman"/>
          <w:color w:val="auto"/>
          <w:sz w:val="32"/>
          <w:szCs w:val="32"/>
        </w:rPr>
        <w:t>、啶虫脒</w:t>
      </w:r>
    </w:p>
    <w:p>
      <w:pPr>
        <w:keepNext w:val="0"/>
        <w:keepLines w:val="0"/>
        <w:pageBreakBefore w:val="0"/>
        <w:kinsoku/>
        <w:wordWrap/>
        <w:overflowPunct/>
        <w:topLinePunct w:val="0"/>
        <w:autoSpaceDE/>
        <w:autoSpaceDN/>
        <w:bidi w:val="0"/>
        <w:spacing w:after="0" w:line="560" w:lineRule="exact"/>
        <w:ind w:leftChars="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啶虫脒是一种烟碱类杀虫剂，具有触杀、胃毒和内吸作用，对蚜虫等有较好防效。少量的残留不会引起人体急性中毒，但长期食用啶虫脒残留超标的食品，可能对人体健康有一定影响。《食品安全国家标准 食品中农药最大残留限量》（GB 2763—2019）中规定，啶虫脒在菜中的最大残留限量值为</w:t>
      </w:r>
      <w:r>
        <w:rPr>
          <w:rFonts w:hint="default" w:ascii="Times New Roman" w:hAnsi="Times New Roman" w:eastAsia="方正仿宋_GBK" w:cs="Times New Roman"/>
          <w:color w:val="auto"/>
          <w:sz w:val="32"/>
          <w:szCs w:val="32"/>
          <w:lang w:val="en-US" w:eastAsia="zh-CN"/>
        </w:rPr>
        <w:t>0.02</w:t>
      </w:r>
      <w:r>
        <w:rPr>
          <w:rFonts w:hint="default" w:ascii="Times New Roman" w:hAnsi="Times New Roman" w:eastAsia="方正仿宋_GBK" w:cs="Times New Roman"/>
          <w:color w:val="auto"/>
          <w:sz w:val="32"/>
          <w:szCs w:val="32"/>
        </w:rPr>
        <w:t>mg/kg。啶虫脒残留量超标的原因，可能是为快速控制虫害，加大用药量或未遵守采摘间隔期规定，致使上市销售的产品中残留量超标。</w:t>
      </w:r>
    </w:p>
    <w:p>
      <w:pPr>
        <w:widowControl w:val="0"/>
        <w:numPr>
          <w:ilvl w:val="0"/>
          <w:numId w:val="1"/>
        </w:numPr>
        <w:spacing w:line="540" w:lineRule="exact"/>
        <w:ind w:firstLine="640" w:firstLineChars="200"/>
        <w:jc w:val="both"/>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阴离子合成洗涤剂</w:t>
      </w:r>
    </w:p>
    <w:p>
      <w:pPr>
        <w:widowControl w:val="0"/>
        <w:numPr>
          <w:numId w:val="0"/>
        </w:numPr>
        <w:spacing w:line="540" w:lineRule="exact"/>
        <w:ind w:firstLine="640" w:firstLineChars="200"/>
        <w:jc w:val="both"/>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即日常生活中经常用到的洗洁精、洗衣粉、肥皂等洗涤剂的主要成分</w:t>
      </w:r>
      <w:r>
        <w:rPr>
          <w:rFonts w:hint="eastAsia" w:ascii="Times New Roman" w:hAnsi="Times New Roman" w:eastAsia="方正仿宋_GBK" w:cs="Times New Roman"/>
          <w:color w:val="auto"/>
          <w:sz w:val="32"/>
          <w:szCs w:val="32"/>
          <w:lang w:eastAsia="zh-CN"/>
        </w:rPr>
        <w:t>，它</w:t>
      </w:r>
      <w:r>
        <w:rPr>
          <w:rFonts w:hint="default" w:ascii="Times New Roman" w:hAnsi="Times New Roman" w:eastAsia="方正仿宋_GBK" w:cs="Times New Roman"/>
          <w:color w:val="auto"/>
          <w:sz w:val="32"/>
          <w:szCs w:val="32"/>
        </w:rPr>
        <w:t>的主要活性成分是十二烷基苯磺酸钠，是一种低毒的化学物质。《食品安全国家标准 消毒餐（饮）具》（GB 14934-2016）中规定，消毒餐（饮）具中阴离子合成洗涤剂（以十二烷基苯磺酸钠计）不得检出。消毒餐（饮）具中检出阴离子合成洗涤剂的原因，可能是用于清洗餐具的洗涤剂不符合标准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使用量过大，未经足够量清水</w:t>
      </w:r>
      <w:r>
        <w:rPr>
          <w:rFonts w:hint="eastAsia" w:ascii="Times New Roman" w:hAnsi="Times New Roman" w:eastAsia="方正仿宋_GBK" w:cs="Times New Roman"/>
          <w:color w:val="auto"/>
          <w:sz w:val="32"/>
          <w:szCs w:val="32"/>
          <w:lang w:eastAsia="zh-CN"/>
        </w:rPr>
        <w:t>彻底</w:t>
      </w:r>
      <w:r>
        <w:rPr>
          <w:rFonts w:hint="default" w:ascii="Times New Roman" w:hAnsi="Times New Roman" w:eastAsia="方正仿宋_GBK" w:cs="Times New Roman"/>
          <w:color w:val="auto"/>
          <w:sz w:val="32"/>
          <w:szCs w:val="32"/>
        </w:rPr>
        <w:t>冲洗或餐具漂洗池内清洗用水重复使用或餐具数量多，造成交叉污染，进而残存在餐（饮）具中</w:t>
      </w:r>
      <w:r>
        <w:rPr>
          <w:rFonts w:hint="default" w:ascii="Times New Roman" w:hAnsi="Times New Roman" w:eastAsia="方正仿宋_GBK" w:cs="Times New Roman"/>
          <w:color w:val="auto"/>
          <w:sz w:val="32"/>
          <w:szCs w:val="32"/>
        </w:rPr>
        <w:t>。</w:t>
      </w:r>
    </w:p>
    <w:p>
      <w:pPr>
        <w:widowControl w:val="0"/>
        <w:numPr>
          <w:ilvl w:val="0"/>
          <w:numId w:val="0"/>
        </w:numPr>
        <w:spacing w:line="540" w:lineRule="exact"/>
        <w:ind w:firstLine="640" w:firstLineChars="200"/>
        <w:jc w:val="both"/>
        <w:rPr>
          <w:rFonts w:hint="eastAsia" w:ascii="Times New Roman" w:hAnsi="Times New Roman" w:eastAsia="仿宋_GB2312" w:cs="Times New Roman"/>
          <w:sz w:val="32"/>
          <w:szCs w:val="32"/>
          <w:lang w:eastAsia="zh-CN"/>
        </w:rPr>
      </w:pPr>
    </w:p>
    <w:p>
      <w:pPr>
        <w:widowControl w:val="0"/>
        <w:numPr>
          <w:ilvl w:val="0"/>
          <w:numId w:val="0"/>
        </w:numPr>
        <w:spacing w:line="540" w:lineRule="exact"/>
        <w:ind w:firstLine="640" w:firstLineChars="200"/>
        <w:jc w:val="both"/>
        <w:rPr>
          <w:rFonts w:hint="eastAsia" w:ascii="Times New Roman" w:hAnsi="Times New Roman" w:eastAsia="仿宋_GB2312" w:cs="Times New Roman"/>
          <w:sz w:val="32"/>
          <w:szCs w:val="32"/>
          <w:lang w:eastAsia="zh-CN"/>
        </w:rPr>
      </w:pPr>
    </w:p>
    <w:p>
      <w:pPr>
        <w:widowControl w:val="0"/>
        <w:numPr>
          <w:ilvl w:val="0"/>
          <w:numId w:val="0"/>
        </w:numPr>
        <w:spacing w:line="540" w:lineRule="exact"/>
        <w:ind w:firstLine="640" w:firstLineChars="200"/>
        <w:jc w:val="both"/>
        <w:rPr>
          <w:rFonts w:hint="eastAsia" w:ascii="Times New Roman" w:hAnsi="Times New Roman" w:eastAsia="仿宋_GB2312" w:cs="Times New Roman"/>
          <w:sz w:val="32"/>
          <w:szCs w:val="32"/>
          <w:lang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仿宋_GBK" w:hAnsi="方正仿宋_GBK" w:eastAsia="方正仿宋_GBK" w:cs="方正仿宋_GBK"/>
          <w:b w:val="0"/>
          <w:bCs/>
          <w:sz w:val="32"/>
          <w:szCs w:val="32"/>
          <w:lang w:eastAsia="zh-CN"/>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59F50"/>
    <w:multiLevelType w:val="singleLevel"/>
    <w:tmpl w:val="5EB59F50"/>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011C6E89"/>
    <w:rsid w:val="05044D0D"/>
    <w:rsid w:val="0AD60AB3"/>
    <w:rsid w:val="10203C3B"/>
    <w:rsid w:val="14C236A4"/>
    <w:rsid w:val="1B485DA0"/>
    <w:rsid w:val="1BE65703"/>
    <w:rsid w:val="1CE2051A"/>
    <w:rsid w:val="25AB0D09"/>
    <w:rsid w:val="25E85C75"/>
    <w:rsid w:val="26E16B87"/>
    <w:rsid w:val="27363DC1"/>
    <w:rsid w:val="31BC1735"/>
    <w:rsid w:val="351210FC"/>
    <w:rsid w:val="358930AE"/>
    <w:rsid w:val="3A7A583C"/>
    <w:rsid w:val="3CC1647E"/>
    <w:rsid w:val="3EC81E95"/>
    <w:rsid w:val="41A13699"/>
    <w:rsid w:val="43D6086F"/>
    <w:rsid w:val="440B6474"/>
    <w:rsid w:val="47DC26C1"/>
    <w:rsid w:val="4ACA6769"/>
    <w:rsid w:val="4B056643"/>
    <w:rsid w:val="4D1A23D7"/>
    <w:rsid w:val="4F2A484E"/>
    <w:rsid w:val="508D2327"/>
    <w:rsid w:val="50B9244C"/>
    <w:rsid w:val="54B10024"/>
    <w:rsid w:val="5A6E3D62"/>
    <w:rsid w:val="5BD43BE3"/>
    <w:rsid w:val="5D520035"/>
    <w:rsid w:val="5E803932"/>
    <w:rsid w:val="63730BC3"/>
    <w:rsid w:val="642B31C6"/>
    <w:rsid w:val="695F138F"/>
    <w:rsid w:val="70E754A1"/>
    <w:rsid w:val="71527710"/>
    <w:rsid w:val="73181E41"/>
    <w:rsid w:val="74DD5936"/>
    <w:rsid w:val="76B73981"/>
    <w:rsid w:val="76D708F6"/>
    <w:rsid w:val="792B2A8E"/>
    <w:rsid w:val="7BF10CD7"/>
    <w:rsid w:val="7DBC0520"/>
    <w:rsid w:val="7F520D7C"/>
    <w:rsid w:val="7FD2306F"/>
    <w:rsid w:val="7FE62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2022-07-11T04:05:45Z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318E159D2A1A4C16964C8C1B772D8C4F</vt:lpwstr>
  </property>
</Properties>
</file>