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sz w:val="44"/>
          <w:szCs w:val="44"/>
        </w:rPr>
      </w:pPr>
      <w:r>
        <w:rPr>
          <w:rFonts w:ascii="宋体" w:eastAsia="黑体"/>
          <w:b w:val="0"/>
          <w:sz w:val="44"/>
          <w:szCs w:val="44"/>
        </w:rPr>
        <w:t>乌鲁木齐经济技术开发区（乌鲁木齐市头屯河区）嵩山街街道办事处</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44"/>
          <w:szCs w:val="44"/>
        </w:rPr>
      </w:pPr>
      <w:r>
        <w:rPr>
          <w:rFonts w:ascii="黑体" w:eastAsia="黑体"/>
          <w:b w:val="0"/>
          <w:sz w:val="44"/>
          <w:szCs w:val="44"/>
        </w:rPr>
        <w:t>2024年度部门决算公开说明</w:t>
      </w:r>
    </w:p>
    <w:p>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ascii="黑体" w:eastAsia="黑体"/>
          <w:sz w:val="32"/>
          <w:szCs w:val="32"/>
        </w:rPr>
      </w:pPr>
      <w:r>
        <w:rPr>
          <w:rFonts w:ascii="黑体" w:eastAsia="黑体"/>
          <w:b/>
          <w:sz w:val="32"/>
          <w:szCs w:val="32"/>
        </w:rPr>
        <w:t>目  录</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第一部分部门概况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第一部分 部门概况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 一、主要职能</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hint="eastAsia" w:ascii="仿宋_GB2312" w:eastAsia="仿宋_GB2312"/>
          <w:b w:val="0"/>
          <w:sz w:val="32"/>
          <w:szCs w:val="32"/>
          <w:lang w:eastAsia="zh-CN"/>
        </w:rPr>
        <w:t>片区管委会</w:t>
      </w:r>
      <w:r>
        <w:rPr>
          <w:rFonts w:hint="eastAsia" w:ascii="仿宋_GB2312" w:eastAsia="仿宋_GB2312"/>
          <w:b w:val="0"/>
          <w:sz w:val="32"/>
          <w:szCs w:val="32"/>
        </w:rPr>
        <w:t>为</w:t>
      </w:r>
      <w:r>
        <w:rPr>
          <w:rFonts w:hint="eastAsia" w:ascii="仿宋_GB2312" w:eastAsia="仿宋_GB2312"/>
          <w:b w:val="0"/>
          <w:sz w:val="32"/>
          <w:szCs w:val="32"/>
          <w:lang w:eastAsia="zh-CN"/>
        </w:rPr>
        <w:t>区委、</w:t>
      </w:r>
      <w:r>
        <w:rPr>
          <w:rFonts w:ascii="仿宋_GB2312" w:eastAsia="仿宋_GB2312"/>
          <w:b w:val="0"/>
          <w:sz w:val="32"/>
          <w:szCs w:val="32"/>
        </w:rPr>
        <w:t>区</w:t>
      </w:r>
      <w:r>
        <w:rPr>
          <w:rFonts w:hint="eastAsia" w:ascii="仿宋_GB2312" w:eastAsia="仿宋_GB2312"/>
          <w:b w:val="0"/>
          <w:sz w:val="32"/>
          <w:szCs w:val="32"/>
        </w:rPr>
        <w:t>人民</w:t>
      </w:r>
      <w:r>
        <w:rPr>
          <w:rFonts w:ascii="仿宋_GB2312" w:eastAsia="仿宋_GB2312"/>
          <w:b w:val="0"/>
          <w:sz w:val="32"/>
          <w:szCs w:val="32"/>
        </w:rPr>
        <w:t>政府</w:t>
      </w:r>
      <w:r>
        <w:rPr>
          <w:rFonts w:hint="eastAsia" w:ascii="仿宋_GB2312" w:eastAsia="仿宋_GB2312"/>
          <w:b w:val="0"/>
          <w:sz w:val="32"/>
          <w:szCs w:val="32"/>
        </w:rPr>
        <w:t>的派出机关</w:t>
      </w:r>
      <w:r>
        <w:rPr>
          <w:rFonts w:ascii="仿宋_GB2312" w:eastAsia="仿宋_GB2312"/>
          <w:b w:val="0"/>
          <w:sz w:val="32"/>
          <w:szCs w:val="32"/>
        </w:rPr>
        <w:t>，</w:t>
      </w:r>
      <w:r>
        <w:rPr>
          <w:rFonts w:hint="eastAsia" w:ascii="仿宋_GB2312" w:eastAsia="仿宋_GB2312"/>
          <w:b w:val="0"/>
          <w:sz w:val="32"/>
          <w:szCs w:val="32"/>
        </w:rPr>
        <w:t>在</w:t>
      </w:r>
      <w:r>
        <w:rPr>
          <w:rFonts w:hint="eastAsia" w:ascii="仿宋_GB2312" w:eastAsia="仿宋_GB2312"/>
          <w:b w:val="0"/>
          <w:sz w:val="32"/>
          <w:szCs w:val="32"/>
          <w:lang w:eastAsia="zh-CN"/>
        </w:rPr>
        <w:t>区委、</w:t>
      </w:r>
      <w:r>
        <w:rPr>
          <w:rFonts w:hint="eastAsia" w:ascii="仿宋_GB2312" w:eastAsia="仿宋_GB2312"/>
          <w:b w:val="0"/>
          <w:sz w:val="32"/>
          <w:szCs w:val="32"/>
        </w:rPr>
        <w:t>区人民政府的直接</w:t>
      </w:r>
      <w:r>
        <w:rPr>
          <w:rFonts w:ascii="仿宋_GB2312" w:eastAsia="仿宋_GB2312"/>
          <w:b w:val="0"/>
          <w:sz w:val="32"/>
          <w:szCs w:val="32"/>
        </w:rPr>
        <w:t>领导</w:t>
      </w:r>
      <w:r>
        <w:rPr>
          <w:rFonts w:hint="eastAsia" w:ascii="仿宋_GB2312" w:eastAsia="仿宋_GB2312"/>
          <w:b w:val="0"/>
          <w:sz w:val="32"/>
          <w:szCs w:val="32"/>
        </w:rPr>
        <w:t>下，依据法律、法规、规章</w:t>
      </w:r>
      <w:r>
        <w:rPr>
          <w:rFonts w:ascii="仿宋_GB2312" w:eastAsia="仿宋_GB2312"/>
          <w:b w:val="0"/>
          <w:sz w:val="32"/>
          <w:szCs w:val="32"/>
        </w:rPr>
        <w:t>和</w:t>
      </w:r>
      <w:r>
        <w:rPr>
          <w:rFonts w:hint="eastAsia" w:ascii="仿宋_GB2312" w:eastAsia="仿宋_GB2312"/>
          <w:b w:val="0"/>
          <w:sz w:val="32"/>
          <w:szCs w:val="32"/>
        </w:rPr>
        <w:t>市、</w:t>
      </w:r>
      <w:r>
        <w:rPr>
          <w:rFonts w:hint="eastAsia" w:ascii="仿宋_GB2312" w:eastAsia="仿宋_GB2312"/>
          <w:b w:val="0"/>
          <w:sz w:val="32"/>
          <w:szCs w:val="32"/>
          <w:lang w:eastAsia="zh-CN"/>
        </w:rPr>
        <w:t>区委、</w:t>
      </w:r>
      <w:r>
        <w:rPr>
          <w:rFonts w:hint="eastAsia" w:ascii="仿宋_GB2312" w:eastAsia="仿宋_GB2312"/>
          <w:b w:val="0"/>
          <w:sz w:val="32"/>
          <w:szCs w:val="32"/>
        </w:rPr>
        <w:t>区人民政府的授权，负责</w:t>
      </w:r>
      <w:r>
        <w:rPr>
          <w:rFonts w:ascii="仿宋_GB2312" w:eastAsia="仿宋_GB2312"/>
          <w:b w:val="0"/>
          <w:sz w:val="32"/>
          <w:szCs w:val="32"/>
        </w:rPr>
        <w:t>管理辖区行政</w:t>
      </w:r>
      <w:r>
        <w:rPr>
          <w:rFonts w:hint="eastAsia" w:ascii="仿宋_GB2312" w:eastAsia="仿宋_GB2312"/>
          <w:b w:val="0"/>
          <w:sz w:val="32"/>
          <w:szCs w:val="32"/>
        </w:rPr>
        <w:t>事务</w:t>
      </w:r>
      <w:r>
        <w:rPr>
          <w:rFonts w:ascii="仿宋_GB2312" w:eastAsia="仿宋_GB2312"/>
          <w:b w:val="0"/>
          <w:sz w:val="32"/>
          <w:szCs w:val="32"/>
        </w:rPr>
        <w:t>和社会事务，</w:t>
      </w:r>
      <w:r>
        <w:rPr>
          <w:rFonts w:hint="eastAsia" w:ascii="仿宋_GB2312" w:eastAsia="仿宋_GB2312"/>
          <w:b w:val="0"/>
          <w:sz w:val="32"/>
          <w:szCs w:val="32"/>
        </w:rPr>
        <w:t>维护社会稳定，服务基层群众，对辖区地区性、社会性、群众性、公益性工作进行组织实施、综合协调、监督检查；承办区委、区人民政府交办的其他事项。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乌鲁木齐经济技术开发区（乌鲁木齐市头屯河区）嵩山街街道办事处2024年度，实有人数120人，其中：在职人员118人，减少5人；离休人员0人，较上年无变化；退休人员2人，增加2人。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ascii="仿宋_GB2312" w:eastAsia="仿宋_GB2312"/>
          <w:sz w:val="32"/>
          <w:szCs w:val="32"/>
        </w:rPr>
      </w:pPr>
      <w:r>
        <w:rPr>
          <w:rFonts w:ascii="仿宋_GB2312" w:eastAsia="仿宋_GB2312"/>
          <w:b w:val="0"/>
          <w:sz w:val="32"/>
          <w:szCs w:val="32"/>
        </w:rPr>
        <w:t>乌鲁木齐经济技术开发区（乌鲁木齐市头屯河区）嵩山街街道办事处本级下设</w:t>
      </w:r>
      <w:r>
        <w:rPr>
          <w:rFonts w:hint="eastAsia" w:ascii="仿宋_GB2312" w:eastAsia="仿宋_GB2312"/>
          <w:b w:val="0"/>
          <w:sz w:val="32"/>
          <w:szCs w:val="32"/>
          <w:lang w:val="en-US" w:eastAsia="zh-CN"/>
        </w:rPr>
        <w:t>3</w:t>
      </w:r>
      <w:r>
        <w:rPr>
          <w:rFonts w:ascii="仿宋_GB2312" w:eastAsia="仿宋_GB2312"/>
          <w:b w:val="0"/>
          <w:sz w:val="32"/>
          <w:szCs w:val="32"/>
        </w:rPr>
        <w:t>个</w:t>
      </w:r>
      <w:r>
        <w:rPr>
          <w:rFonts w:hint="eastAsia" w:ascii="仿宋_GB2312" w:hAnsi="黑体" w:eastAsia="仿宋_GB2312" w:cs="宋体"/>
          <w:bCs/>
          <w:color w:val="auto"/>
          <w:kern w:val="0"/>
          <w:sz w:val="32"/>
          <w:szCs w:val="32"/>
        </w:rPr>
        <w:t>处室</w:t>
      </w:r>
      <w:r>
        <w:rPr>
          <w:rFonts w:ascii="仿宋_GB2312" w:eastAsia="仿宋_GB2312"/>
          <w:b w:val="0"/>
          <w:sz w:val="32"/>
          <w:szCs w:val="32"/>
        </w:rPr>
        <w:t>，</w:t>
      </w:r>
      <w:r>
        <w:rPr>
          <w:rFonts w:hint="eastAsia" w:ascii="仿宋_GB2312" w:hAnsi="黑体" w:eastAsia="仿宋_GB2312" w:cs="宋体"/>
          <w:bCs/>
          <w:color w:val="auto"/>
          <w:kern w:val="0"/>
          <w:sz w:val="32"/>
          <w:szCs w:val="32"/>
        </w:rPr>
        <w:t>分别是：行政事务执法管理中心、社会事务管理服务中心、综治中心。下辖7个社区工作委员会，即：泰山街社区工作委员会、黄山街社区工作委员会、西湖社区工作委员会、融南社区工作委员会、融北社区工作委员会、紫阳湖社区工作委员会、庐山街社区工作委员会。</w:t>
      </w:r>
    </w:p>
    <w:p>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2024年度收入总计2,069.87万元，其中：本年收入合计2,065.06万元，使用非财政拨款结余（含专用结余）0.00万元，年初结转和结余4.81万元。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2024年度支出总计2,069.87万元，其中：本年支出合计2,067.65万元，结余分配0.00万元，年末结转和结余2.22万元。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收入支出总体与上年相比，增加74.85万元，增长3.75%，主要原因是：。</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本年收入2,065.06万元，其中：财政拨款收入2,063.26万元,占99.91%；上级补助收入0.00万元,占0.00%；事业收入0.00万元，占0.00%；经营收入0.00万元,占0.00%；附属单位上缴收入0.00万元，占0.00%；其他收入1.80万元，占0.09%。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本年支出2,067.65万元，其中：基本支出2,038.50万元，占98.59%；项目支出29.15万元，占1.41%；上缴上级支出0.00万元，占0.00%；经营支出0.00万元，占0.00%；对附属单位补助支出0.00万元，占0.00%。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收入总计2,064.43万元，其中：年初财政拨款结转和结余1.18万元，本年财政拨款收入2,063.26万元。财政拨款支出总计2,064.43万元，其中：年末财政拨款结转和结余1.18万元，本年财政拨款支出2,063.26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财政拨款收入支出总体与上年相比，增加85.72万元，增长4.33%，主要原因是：</w:t>
      </w:r>
      <w:r>
        <w:rPr>
          <w:rFonts w:hint="eastAsia" w:ascii="仿宋_GB2312" w:eastAsia="仿宋_GB2312"/>
          <w:color w:val="auto"/>
          <w:spacing w:val="0"/>
          <w:sz w:val="32"/>
          <w:szCs w:val="32"/>
          <w:highlight w:val="none"/>
          <w:lang w:val="en-US" w:eastAsia="zh-CN"/>
        </w:rPr>
        <w:t>福利费预算增加，人员调整经费预算</w:t>
      </w:r>
      <w:r>
        <w:rPr>
          <w:rFonts w:ascii="仿宋_GB2312" w:eastAsia="仿宋_GB2312"/>
          <w:b w:val="0"/>
          <w:sz w:val="32"/>
          <w:szCs w:val="32"/>
        </w:rPr>
        <w:t>。</w:t>
      </w:r>
      <w:r>
        <w:rPr>
          <w:rFonts w:ascii="仿宋_GB2312" w:eastAsia="仿宋_GB2312"/>
          <w:b w:val="0"/>
          <w:sz w:val="32"/>
          <w:szCs w:val="32"/>
        </w:rPr>
        <w:t>。与年初预算相比，年初预算数3,673.41万元，决算数2,064.43万元，预决算差异率-43.80%，主要原因是：</w:t>
      </w:r>
      <w:r>
        <w:rPr>
          <w:rFonts w:hint="eastAsia" w:ascii="仿宋_GB2312" w:hAnsi="仿宋_GB2312" w:eastAsia="仿宋_GB2312" w:cs="仿宋_GB2312"/>
          <w:color w:val="auto"/>
          <w:sz w:val="32"/>
          <w:szCs w:val="32"/>
          <w:lang w:val="en-US" w:eastAsia="zh-CN"/>
        </w:rPr>
        <w:t>减环卫工人工资经费等</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（一）一般公共预算财政拨款支出决算总体情况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2024年度一般公共预算财政拨款支出2,063.26万元，占本年支出合计的99.79%。与上年相比，增加85.73万元，增长4.34%，主要原因是：</w:t>
      </w:r>
      <w:r>
        <w:rPr>
          <w:rFonts w:hint="eastAsia" w:ascii="仿宋_GB2312" w:eastAsia="仿宋_GB2312"/>
          <w:color w:val="auto"/>
          <w:spacing w:val="0"/>
          <w:sz w:val="32"/>
          <w:szCs w:val="32"/>
          <w:highlight w:val="none"/>
          <w:lang w:val="en-US" w:eastAsia="zh-CN"/>
        </w:rPr>
        <w:t>福利费预算增加，人员调整经费预算</w:t>
      </w:r>
      <w:r>
        <w:rPr>
          <w:rFonts w:ascii="仿宋_GB2312" w:eastAsia="仿宋_GB2312"/>
          <w:b w:val="0"/>
          <w:sz w:val="32"/>
          <w:szCs w:val="32"/>
        </w:rPr>
        <w:t>。与年初预算相比，年初预算数3,673.41万元，决算数2,063.26万元，预决算差异率-43.83%，主要原因是</w:t>
      </w:r>
      <w:r>
        <w:rPr>
          <w:rFonts w:hint="eastAsia" w:ascii="仿宋_GB2312" w:eastAsia="仿宋_GB2312"/>
          <w:color w:val="auto"/>
          <w:spacing w:val="0"/>
          <w:sz w:val="32"/>
          <w:szCs w:val="32"/>
          <w:highlight w:val="none"/>
          <w:lang w:val="en-US" w:eastAsia="zh-CN"/>
        </w:rPr>
        <w:t>一是厉行节约，二是</w:t>
      </w:r>
      <w:r>
        <w:rPr>
          <w:rFonts w:hint="eastAsia" w:ascii="仿宋_GB2312" w:hAnsi="仿宋_GB2312" w:eastAsia="仿宋_GB2312" w:cs="仿宋_GB2312"/>
          <w:color w:val="auto"/>
          <w:sz w:val="32"/>
          <w:szCs w:val="32"/>
          <w:lang w:val="en-US" w:eastAsia="zh-CN"/>
        </w:rPr>
        <w:t>调减环卫工人工资经费预算</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一般公共服务支出（类）1,830.42万元，占88.71%。</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社会保障和就业支出（类）206.37万元，占10.00%。</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卫生健康支出（类）26.47万元，占1.2</w:t>
      </w:r>
      <w:r>
        <w:rPr>
          <w:rFonts w:hint="eastAsia" w:ascii="仿宋_GB2312" w:eastAsia="仿宋_GB2312"/>
          <w:b w:val="0"/>
          <w:sz w:val="32"/>
          <w:szCs w:val="32"/>
          <w:lang w:val="en-US" w:eastAsia="zh-CN"/>
        </w:rPr>
        <w:t>9</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1、一般公共服务支出（类）政府办公厅（室）及相关机构事务（款）行政运行（项）：支出决算数为302.59万元，比上年决算减少50.08万元，下降14.20%，主要原因是：</w:t>
      </w:r>
      <w:r>
        <w:rPr>
          <w:rFonts w:hint="eastAsia" w:ascii="仿宋_GB2312" w:hAnsi="仿宋_GB2312" w:eastAsia="仿宋_GB2312" w:cs="仿宋_GB2312"/>
          <w:color w:val="auto"/>
          <w:kern w:val="2"/>
          <w:sz w:val="32"/>
          <w:szCs w:val="32"/>
          <w:highlight w:val="none"/>
          <w:lang w:val="en-US" w:eastAsia="zh-CN" w:bidi="ar-SA"/>
        </w:rPr>
        <w:t>一是公积金基数下降，二是厉行节约办公经费支出下降</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2、一般公共服务支出（类）政府办公厅（室）及相关机构事务（款）事业运行（项）：支出决算数为1,507.83万元，比上年决算增加122.73万元，增长8.86%，主要原因是：</w:t>
      </w:r>
      <w:r>
        <w:rPr>
          <w:rFonts w:hint="eastAsia" w:ascii="仿宋_GB2312" w:eastAsia="仿宋_GB2312"/>
          <w:b w:val="0"/>
          <w:sz w:val="32"/>
          <w:szCs w:val="32"/>
          <w:lang w:val="en-US" w:eastAsia="zh-CN"/>
        </w:rPr>
        <w:t>办公经费优先使用基本支出，办公经费支出增加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3、一般公共服务支出（类）组织事务（款）其他组织事务支出（项）：支出决算数为20.00万元，比上年决算增加20.00万元，增长100.00%，主要原因是：</w:t>
      </w:r>
      <w:r>
        <w:rPr>
          <w:rFonts w:hint="eastAsia" w:ascii="仿宋_GB2312" w:eastAsia="仿宋_GB2312"/>
          <w:b w:val="0"/>
          <w:sz w:val="32"/>
          <w:szCs w:val="32"/>
          <w:lang w:val="en-US" w:eastAsia="zh-CN"/>
        </w:rPr>
        <w:t>石榴籽项目</w:t>
      </w:r>
      <w:r>
        <w:rPr>
          <w:rFonts w:hint="eastAsia" w:ascii="仿宋_GB2312" w:eastAsia="仿宋_GB2312"/>
          <w:color w:val="auto"/>
          <w:spacing w:val="0"/>
          <w:sz w:val="32"/>
          <w:szCs w:val="32"/>
          <w:highlight w:val="none"/>
          <w:lang w:val="en-US" w:eastAsia="zh-CN"/>
        </w:rPr>
        <w:t>预算增加</w:t>
      </w:r>
      <w:r>
        <w:rPr>
          <w:rFonts w:hint="eastAsia" w:ascii="仿宋_GB2312" w:eastAsia="仿宋_GB2312"/>
          <w:b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4、社会保障和就业支出（类）民政管理事务（款）基层政权建设和社区治理（项）：支出决算数为2.96万元，比上年决算增加2.96万元，增长100.00%，主要原因是：</w:t>
      </w:r>
      <w:r>
        <w:rPr>
          <w:rFonts w:hint="eastAsia" w:ascii="仿宋_GB2312" w:eastAsia="仿宋_GB2312"/>
          <w:b w:val="0"/>
          <w:sz w:val="32"/>
          <w:szCs w:val="32"/>
          <w:lang w:eastAsia="zh-CN"/>
        </w:rPr>
        <w:t>民办</w:t>
      </w:r>
      <w:r>
        <w:rPr>
          <w:rFonts w:hint="eastAsia" w:ascii="仿宋_GB2312" w:eastAsia="仿宋_GB2312"/>
          <w:b w:val="0"/>
          <w:sz w:val="32"/>
          <w:szCs w:val="32"/>
          <w:lang w:val="en-US" w:eastAsia="zh-CN"/>
        </w:rPr>
        <w:t>实事</w:t>
      </w:r>
      <w:r>
        <w:rPr>
          <w:rFonts w:hint="eastAsia" w:ascii="仿宋_GB2312" w:eastAsia="仿宋_GB2312"/>
          <w:b w:val="0"/>
          <w:sz w:val="32"/>
          <w:szCs w:val="32"/>
          <w:lang w:eastAsia="zh-CN"/>
        </w:rPr>
        <w:t>专项经费追加。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5、社会保障和就业支出（类）行政事业单位养老支出（款）机关事业单位基本养老保险缴费支出（项）：支出决算数为182.51万元，比上年决算增加6.94万元，增长3.95%，主要原因是：</w:t>
      </w:r>
      <w:r>
        <w:rPr>
          <w:rFonts w:hint="eastAsia" w:ascii="仿宋_GB2312" w:hAnsi="仿宋_GB2312" w:eastAsia="仿宋_GB2312" w:cs="仿宋_GB2312"/>
          <w:color w:val="auto"/>
          <w:kern w:val="2"/>
          <w:sz w:val="32"/>
          <w:szCs w:val="32"/>
          <w:highlight w:val="none"/>
          <w:lang w:val="en-US" w:eastAsia="zh-CN" w:bidi="ar-SA"/>
        </w:rPr>
        <w:t>社保基数调高。</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6、社会保障和就业支出（类）行政事业单位养老支出（款）机关事业单位职业年金缴费支出（项）：支出决算数为19.11万元，比上年决算减少17.24万元，下降47.43%，主要原因是：</w:t>
      </w:r>
      <w:r>
        <w:rPr>
          <w:rFonts w:ascii="仿宋_GB2312" w:eastAsia="仿宋_GB2312"/>
          <w:b w:val="0"/>
          <w:sz w:val="32"/>
          <w:szCs w:val="32"/>
        </w:rPr>
        <w:t>：</w:t>
      </w:r>
      <w:r>
        <w:rPr>
          <w:rFonts w:hint="eastAsia" w:ascii="仿宋_GB2312" w:hAnsi="仿宋_GB2312" w:eastAsia="仿宋_GB2312" w:cs="仿宋_GB2312"/>
          <w:color w:val="auto"/>
          <w:kern w:val="2"/>
          <w:sz w:val="32"/>
          <w:szCs w:val="32"/>
          <w:highlight w:val="none"/>
          <w:lang w:val="en-US" w:eastAsia="zh-CN" w:bidi="ar-SA"/>
        </w:rPr>
        <w:t>减少离职人员职业年金单位部分记实</w:t>
      </w:r>
      <w:r>
        <w:rPr>
          <w:rFonts w:hint="eastAsia" w:ascii="仿宋_GB2312" w:hAnsi="仿宋_GB2312" w:eastAsia="仿宋_GB2312" w:cs="仿宋_GB2312"/>
          <w:color w:val="auto"/>
          <w:kern w:val="2"/>
          <w:sz w:val="32"/>
          <w:szCs w:val="32"/>
          <w:highlight w:val="none"/>
          <w:lang w:val="zh-CN" w:eastAsia="zh-CN" w:bidi="ar-SA"/>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7、社会保障和就业支出（类）就业补助（款）其他就业补助支出（项）：支出决算数为1.80万元，比上年决算增加1.80万元，增长100.00%，主要原因是：</w:t>
      </w:r>
      <w:r>
        <w:rPr>
          <w:rFonts w:hint="eastAsia" w:ascii="仿宋_GB2312" w:eastAsia="仿宋_GB2312"/>
          <w:b w:val="0"/>
          <w:sz w:val="32"/>
          <w:szCs w:val="32"/>
          <w:lang w:eastAsia="zh-CN"/>
        </w:rPr>
        <w:t>自治区财政就业补助金专项经费追加。</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8、卫生健康支出（类）卫生健康管理事务（款）行政运行（项）：支出决算数为26.47万元，比上年决算减少0.95万元，下降3.46%，主要原因是：</w:t>
      </w:r>
      <w:r>
        <w:rPr>
          <w:rFonts w:hint="eastAsia" w:ascii="仿宋_GB2312" w:hAnsi="仿宋_GB2312" w:eastAsia="仿宋_GB2312" w:cs="仿宋_GB2312"/>
          <w:color w:val="auto"/>
          <w:kern w:val="2"/>
          <w:sz w:val="32"/>
          <w:szCs w:val="32"/>
          <w:highlight w:val="none"/>
          <w:lang w:val="en-US" w:eastAsia="zh-CN" w:bidi="ar-SA"/>
        </w:rPr>
        <w:t>厉行节约办公经费支出下降</w:t>
      </w:r>
      <w:r>
        <w:rPr>
          <w:rFonts w:hint="eastAsia" w:ascii="仿宋_GB2312" w:hAnsi="仿宋_GB2312" w:eastAsia="仿宋_GB2312" w:cs="仿宋_GB2312"/>
          <w:color w:val="auto"/>
          <w:kern w:val="2"/>
          <w:sz w:val="32"/>
          <w:szCs w:val="32"/>
          <w:highlight w:val="none"/>
          <w:lang w:val="zh-CN" w:eastAsia="zh-CN" w:bidi="ar-SA"/>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eastAsia="仿宋_GB2312"/>
          <w:sz w:val="32"/>
          <w:szCs w:val="32"/>
        </w:rPr>
      </w:pPr>
      <w:r>
        <w:rPr>
          <w:rFonts w:ascii="仿宋_GB2312" w:eastAsia="仿宋_GB2312"/>
          <w:b w:val="0"/>
          <w:sz w:val="32"/>
          <w:szCs w:val="32"/>
        </w:rPr>
        <w:t>9、卫生健康支出（类）公共卫生（款）突发公共卫生事件应急处置（项）：支出决算数为0.00万元，比上年决算减少0.43万元，下降100.00%，主要原因是：</w:t>
      </w:r>
      <w:r>
        <w:rPr>
          <w:rFonts w:hint="eastAsia" w:ascii="仿宋_GB2312" w:hAnsi="仿宋_GB2312" w:eastAsia="仿宋_GB2312" w:cs="仿宋_GB2312"/>
          <w:color w:val="auto"/>
          <w:kern w:val="2"/>
          <w:sz w:val="32"/>
          <w:szCs w:val="32"/>
          <w:highlight w:val="none"/>
          <w:lang w:val="en-US" w:eastAsia="zh-CN" w:bidi="ar-SA"/>
        </w:rPr>
        <w:t>专项经费未拨付</w:t>
      </w:r>
      <w:r>
        <w:rPr>
          <w:rFonts w:hint="eastAsia" w:ascii="仿宋_GB2312" w:hAnsi="仿宋_GB2312" w:eastAsia="仿宋_GB2312" w:cs="仿宋_GB2312"/>
          <w:color w:val="auto"/>
          <w:kern w:val="2"/>
          <w:sz w:val="32"/>
          <w:szCs w:val="32"/>
          <w:highlight w:val="none"/>
          <w:lang w:val="zh-CN" w:eastAsia="zh-CN" w:bidi="ar-SA"/>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基本支出2,038.50万元，其中：人员经费1,841.45万元，包括：基本工资、津贴补贴、奖金、机关事业单位基本养老保险缴费、职业年金缴费、职工基本医疗保险缴费、公务员医疗补助缴费、其他社会保障缴费、住房公积金和生活补助。</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公用经费197.05万元，包括：办公费、水费、电费、邮电费、取暖费、差旅费、维修（护）费、培训费、委托业务费、工会经费、福利费、公务用车运行维护费和其他交通费用。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w:t>
      </w:r>
      <w:r>
        <w:rPr>
          <w:rFonts w:hint="eastAsia" w:ascii="仿宋_GB2312" w:eastAsia="仿宋_GB2312"/>
          <w:b w:val="0"/>
          <w:sz w:val="32"/>
          <w:szCs w:val="32"/>
          <w:lang w:val="en-US" w:eastAsia="zh-CN"/>
        </w:rPr>
        <w:t>单位</w:t>
      </w:r>
      <w:r>
        <w:rPr>
          <w:rFonts w:ascii="仿宋_GB2312" w:eastAsia="仿宋_GB2312"/>
          <w:b w:val="0"/>
          <w:sz w:val="32"/>
          <w:szCs w:val="32"/>
        </w:rPr>
        <w:t>本年度无政府性基金预算财政拨款收入、支出及结转和结余，政府性基金预算财政拨款收入支出决算表为空表。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w:t>
      </w:r>
      <w:r>
        <w:rPr>
          <w:rFonts w:hint="eastAsia" w:ascii="仿宋_GB2312" w:eastAsia="仿宋_GB2312"/>
          <w:b w:val="0"/>
          <w:sz w:val="32"/>
          <w:szCs w:val="32"/>
          <w:lang w:val="en-US" w:eastAsia="zh-CN"/>
        </w:rPr>
        <w:t>单位</w:t>
      </w:r>
      <w:r>
        <w:rPr>
          <w:rFonts w:ascii="仿宋_GB2312" w:eastAsia="仿宋_GB2312"/>
          <w:b w:val="0"/>
          <w:sz w:val="32"/>
          <w:szCs w:val="32"/>
        </w:rPr>
        <w:t>本年度无国有资本经营预算财政拨款收入、支出及结转和结余，国有资本经营预算财政拨款收入支出决算表为空表。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2024年度财政拨款“三公”经费支出8.10万元，比上年增加4.50万元，增长125.00%，主要原因是：</w:t>
      </w:r>
      <w:r>
        <w:rPr>
          <w:rFonts w:hint="eastAsia" w:ascii="仿宋_GB2312" w:eastAsia="仿宋_GB2312"/>
          <w:b w:val="0"/>
          <w:sz w:val="32"/>
          <w:szCs w:val="32"/>
          <w:lang w:eastAsia="zh-CN"/>
        </w:rPr>
        <w:t>支付往年车辆维修欠款</w:t>
      </w:r>
      <w:r>
        <w:rPr>
          <w:rFonts w:ascii="仿宋_GB2312" w:eastAsia="仿宋_GB2312"/>
          <w:b w:val="0"/>
          <w:sz w:val="32"/>
          <w:szCs w:val="32"/>
        </w:rPr>
        <w:t>。其中：因公出国（境）费支出0.00万元,占0.00%，与上年相比无变化，主要原因是：</w:t>
      </w:r>
      <w:r>
        <w:rPr>
          <w:rFonts w:hint="eastAsia" w:ascii="仿宋_GB2312" w:eastAsia="仿宋_GB2312"/>
          <w:color w:val="auto"/>
          <w:sz w:val="32"/>
          <w:szCs w:val="32"/>
          <w:highlight w:val="none"/>
        </w:rPr>
        <w:t>无此项业务发生</w:t>
      </w:r>
      <w:r>
        <w:rPr>
          <w:rFonts w:ascii="仿宋_GB2312" w:eastAsia="仿宋_GB2312"/>
          <w:b w:val="0"/>
          <w:sz w:val="32"/>
          <w:szCs w:val="32"/>
        </w:rPr>
        <w:t>；公务用车购置及运行维护费支出8.10万元，占100.00%，比上年增加4.50万元，增长125.00%，主要原因是：</w:t>
      </w:r>
      <w:r>
        <w:rPr>
          <w:rFonts w:hint="eastAsia" w:ascii="仿宋_GB2312" w:eastAsia="仿宋_GB2312"/>
          <w:b w:val="0"/>
          <w:sz w:val="32"/>
          <w:szCs w:val="32"/>
          <w:lang w:eastAsia="zh-CN"/>
        </w:rPr>
        <w:t>支付往年车辆维修欠款</w:t>
      </w:r>
      <w:r>
        <w:rPr>
          <w:rFonts w:ascii="仿宋_GB2312" w:eastAsia="仿宋_GB2312"/>
          <w:b w:val="0"/>
          <w:sz w:val="32"/>
          <w:szCs w:val="32"/>
        </w:rPr>
        <w:t>；公务接待费支出0.00万元，占0.00%，与上年相比无变化，主要原因是：</w:t>
      </w:r>
      <w:r>
        <w:rPr>
          <w:rFonts w:hint="eastAsia" w:ascii="仿宋_GB2312" w:eastAsia="仿宋_GB2312"/>
          <w:color w:val="auto"/>
          <w:sz w:val="32"/>
          <w:szCs w:val="32"/>
          <w:highlight w:val="none"/>
        </w:rPr>
        <w:t>无此项业务发生</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r>
        <w:rPr>
          <w:rFonts w:ascii="仿宋_GB2312" w:eastAsia="仿宋_GB2312"/>
          <w:b w:val="0"/>
          <w:sz w:val="32"/>
          <w:szCs w:val="32"/>
        </w:rPr>
        <w:t>具体情况如下：</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因公出国（境）费支出0.00万元，开支内容包括</w:t>
      </w:r>
      <w:r>
        <w:rPr>
          <w:rFonts w:hint="eastAsia" w:ascii="仿宋_GB2312" w:eastAsia="仿宋_GB2312"/>
          <w:b w:val="0"/>
          <w:sz w:val="32"/>
          <w:szCs w:val="32"/>
          <w:lang w:eastAsia="zh-CN"/>
        </w:rPr>
        <w:t>我单位无</w:t>
      </w:r>
      <w:r>
        <w:rPr>
          <w:rFonts w:ascii="仿宋_GB2312" w:eastAsia="仿宋_GB2312"/>
          <w:b w:val="0"/>
          <w:sz w:val="32"/>
          <w:szCs w:val="32"/>
        </w:rPr>
        <w:t>因公出国（境）费</w:t>
      </w:r>
      <w:r>
        <w:rPr>
          <w:rFonts w:hint="eastAsia" w:ascii="仿宋_GB2312" w:eastAsia="仿宋_GB2312"/>
          <w:b w:val="0"/>
          <w:sz w:val="32"/>
          <w:szCs w:val="32"/>
          <w:lang w:eastAsia="zh-CN"/>
        </w:rPr>
        <w:t>用</w:t>
      </w:r>
      <w:r>
        <w:rPr>
          <w:rFonts w:ascii="仿宋_GB2312" w:eastAsia="仿宋_GB2312"/>
          <w:b w:val="0"/>
          <w:sz w:val="32"/>
          <w:szCs w:val="32"/>
        </w:rPr>
        <w:t>。单位全年安排的因公出国（境）团组0个，因公出国（境）0人次。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公务用车购置及运行维护费8.10万元，其中：公务用车购置费0.00万元，公务用车运行维护费8.10万元。公务用车运行维护费开支内容包括</w:t>
      </w:r>
      <w:r>
        <w:rPr>
          <w:rFonts w:hint="eastAsia" w:ascii="仿宋_GB2312" w:eastAsia="仿宋_GB2312"/>
          <w:b w:val="0"/>
          <w:sz w:val="32"/>
          <w:szCs w:val="32"/>
          <w:lang w:eastAsia="zh-CN"/>
        </w:rPr>
        <w:t>支付往年车辆维修欠款</w:t>
      </w:r>
      <w:r>
        <w:rPr>
          <w:rFonts w:ascii="仿宋_GB2312" w:eastAsia="仿宋_GB2312"/>
          <w:b w:val="0"/>
          <w:sz w:val="32"/>
          <w:szCs w:val="32"/>
        </w:rPr>
        <w:t>。公务用车购置数0辆，公务用车保有量39辆。国有资产占用情况中固定资产车辆39辆，与公务用车保有量差异原因是：</w:t>
      </w:r>
      <w:r>
        <w:rPr>
          <w:rFonts w:hint="eastAsia" w:ascii="仿宋_GB2312" w:eastAsia="仿宋_GB2312"/>
          <w:b w:val="0"/>
          <w:sz w:val="32"/>
          <w:szCs w:val="32"/>
          <w:lang w:eastAsia="zh-CN"/>
        </w:rPr>
        <w:t>无差异</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公务接待费0.00万元，开支内容包括</w:t>
      </w:r>
      <w:r>
        <w:rPr>
          <w:rFonts w:hint="eastAsia" w:ascii="仿宋_GB2312" w:eastAsia="仿宋_GB2312"/>
          <w:b w:val="0"/>
          <w:sz w:val="32"/>
          <w:szCs w:val="32"/>
          <w:lang w:eastAsia="zh-CN"/>
        </w:rPr>
        <w:t>我单位无</w:t>
      </w:r>
      <w:r>
        <w:rPr>
          <w:rFonts w:ascii="仿宋_GB2312" w:eastAsia="仿宋_GB2312"/>
          <w:b w:val="0"/>
          <w:sz w:val="32"/>
          <w:szCs w:val="32"/>
        </w:rPr>
        <w:t>公务接待费</w:t>
      </w:r>
      <w:r>
        <w:rPr>
          <w:rFonts w:hint="eastAsia" w:ascii="仿宋_GB2312" w:eastAsia="仿宋_GB2312"/>
          <w:b w:val="0"/>
          <w:sz w:val="32"/>
          <w:szCs w:val="32"/>
          <w:lang w:eastAsia="zh-CN"/>
        </w:rPr>
        <w:t>用</w:t>
      </w:r>
      <w:r>
        <w:rPr>
          <w:rFonts w:ascii="仿宋_GB2312" w:eastAsia="仿宋_GB2312"/>
          <w:b w:val="0"/>
          <w:sz w:val="32"/>
          <w:szCs w:val="32"/>
        </w:rPr>
        <w:t>。单位全年安排的国内公务接待0批次，0人次。</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与全年预算相比，财政拨款“三公”经费支出全年预算数8.10万元，决算数8.10万元，预决算差异率0.00%，主要原因是：</w:t>
      </w:r>
      <w:r>
        <w:rPr>
          <w:rFonts w:hint="eastAsia" w:ascii="仿宋_GB2312" w:eastAsia="仿宋_GB2312"/>
          <w:b w:val="0"/>
          <w:sz w:val="32"/>
          <w:szCs w:val="32"/>
          <w:lang w:eastAsia="zh-CN"/>
        </w:rPr>
        <w:t>严格按预算执行</w:t>
      </w:r>
      <w:r>
        <w:rPr>
          <w:rFonts w:ascii="仿宋_GB2312" w:eastAsia="仿宋_GB2312"/>
          <w:b w:val="0"/>
          <w:sz w:val="32"/>
          <w:szCs w:val="32"/>
        </w:rPr>
        <w:t>。其中：因公出国（境）费全年预算数0.00万元，决算数0.00万元，预决算差异率0.00%，主要原因是：</w:t>
      </w:r>
      <w:r>
        <w:rPr>
          <w:rFonts w:hint="eastAsia" w:ascii="仿宋_GB2312" w:eastAsia="仿宋_GB2312"/>
          <w:b w:val="0"/>
          <w:sz w:val="32"/>
          <w:szCs w:val="32"/>
          <w:lang w:eastAsia="zh-CN"/>
        </w:rPr>
        <w:t>严格按预算执行</w:t>
      </w:r>
      <w:r>
        <w:rPr>
          <w:rFonts w:ascii="仿宋_GB2312" w:eastAsia="仿宋_GB2312"/>
          <w:b w:val="0"/>
          <w:sz w:val="32"/>
          <w:szCs w:val="32"/>
        </w:rPr>
        <w:t>；公务用车购置费全年预算数0.00万元，决算数0.00万元，预决算差异率0.00%，主要原因是：</w:t>
      </w:r>
      <w:r>
        <w:rPr>
          <w:rFonts w:hint="eastAsia" w:ascii="仿宋_GB2312" w:eastAsia="仿宋_GB2312"/>
          <w:b w:val="0"/>
          <w:sz w:val="32"/>
          <w:szCs w:val="32"/>
          <w:lang w:eastAsia="zh-CN"/>
        </w:rPr>
        <w:t>严格按预算执行</w:t>
      </w:r>
      <w:r>
        <w:rPr>
          <w:rFonts w:ascii="仿宋_GB2312" w:eastAsia="仿宋_GB2312"/>
          <w:b w:val="0"/>
          <w:sz w:val="32"/>
          <w:szCs w:val="32"/>
        </w:rPr>
        <w:t>；公务用车运行维护费全年预算数8.10万元，决算数8.10万元，预决算差异率0.00%，主要原因是：</w:t>
      </w:r>
      <w:r>
        <w:rPr>
          <w:rFonts w:hint="eastAsia" w:ascii="仿宋_GB2312" w:eastAsia="仿宋_GB2312"/>
          <w:b w:val="0"/>
          <w:sz w:val="32"/>
          <w:szCs w:val="32"/>
          <w:lang w:eastAsia="zh-CN"/>
        </w:rPr>
        <w:t>严格按预算执行</w:t>
      </w:r>
      <w:r>
        <w:rPr>
          <w:rFonts w:ascii="仿宋_GB2312" w:eastAsia="仿宋_GB2312"/>
          <w:b w:val="0"/>
          <w:sz w:val="32"/>
          <w:szCs w:val="32"/>
        </w:rPr>
        <w:t>；公务接待费全年预算数0.00万元，决算数0.00万元，预决算差异率0.00%，主要原因是：</w:t>
      </w:r>
      <w:r>
        <w:rPr>
          <w:rFonts w:hint="eastAsia" w:ascii="仿宋_GB2312" w:eastAsia="仿宋_GB2312"/>
          <w:b w:val="0"/>
          <w:sz w:val="32"/>
          <w:szCs w:val="32"/>
          <w:lang w:eastAsia="zh-CN"/>
        </w:rPr>
        <w:t>严格按预算执行</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（一）机关运行经费及公用经费支出情况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2024年度乌鲁木齐经济技术开发区（乌鲁木齐市头屯河区）嵩山街街道办事处部门（行政单位和参照公务员法管理事业单位）机关运行经费支出197.05万元，比上年增加32.18万元，增长19.52%，主要原因是：</w:t>
      </w:r>
      <w:r>
        <w:rPr>
          <w:rFonts w:hint="eastAsia" w:ascii="仿宋_GB2312" w:eastAsia="仿宋_GB2312"/>
          <w:b w:val="0"/>
          <w:sz w:val="32"/>
          <w:szCs w:val="32"/>
          <w:lang w:eastAsia="zh-CN"/>
        </w:rPr>
        <w:t>支付历年欠款</w:t>
      </w:r>
      <w:r>
        <w:rPr>
          <w:rFonts w:ascii="仿宋_GB2312" w:eastAsia="仿宋_GB2312"/>
          <w:b w:val="0"/>
          <w:sz w:val="32"/>
          <w:szCs w:val="32"/>
        </w:rPr>
        <w:t>。</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（二）政府采购情况</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2024年度政府采购支出总额706.57万元，其中：政府采购货物支出30.67万元、政府采购工程支出0.04万元、政府采购服务支出675.86万元。</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授予中小企业合同金额679.27万元，占政府采购支出总额的96.14%，其中：授予小微企业合同金额671.17万元，占政府采购支出总额的94.99%。</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（三）国有资产占用情况说明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截至2024年12月31日，房屋3,409.20平方米，价值1,095.53万元。车辆39辆，价值206.83万元，其中：副部（省）级及以上领导用车0辆、主要负责人用车0辆、机要通信用车0辆、应急保障用车0辆、执法执勤用车39辆、特种专业技术用车0辆、离退休干部服务用车0辆、其他用车0辆，其他用车主要是：;单价100万元（含）以上设备（不含车辆）0台（套）。</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ascii="仿宋_GB2312" w:eastAsia="仿宋_GB2312"/>
          <w:b w:val="0"/>
          <w:sz w:val="32"/>
          <w:szCs w:val="32"/>
        </w:rPr>
      </w:pPr>
      <w:r>
        <w:rPr>
          <w:rFonts w:ascii="仿宋_GB2312" w:eastAsia="仿宋_GB2312"/>
          <w:b w:val="0"/>
          <w:sz w:val="32"/>
          <w:szCs w:val="32"/>
        </w:rPr>
        <w:t>根据预算绩效管理要求，本部门2024年度预算绩效管理形成整体支出绩效自评表1个，全年预算总额</w:t>
      </w:r>
      <w:r>
        <w:rPr>
          <w:rFonts w:hint="eastAsia" w:ascii="仿宋_GB2312" w:eastAsia="仿宋_GB2312"/>
          <w:b w:val="0"/>
          <w:color w:val="auto"/>
          <w:sz w:val="32"/>
          <w:szCs w:val="32"/>
          <w:lang w:val="en-US" w:eastAsia="zh-CN"/>
        </w:rPr>
        <w:t>2069.87</w:t>
      </w:r>
      <w:r>
        <w:rPr>
          <w:rFonts w:ascii="仿宋_GB2312" w:eastAsia="仿宋_GB2312"/>
          <w:b w:val="0"/>
          <w:sz w:val="32"/>
          <w:szCs w:val="32"/>
        </w:rPr>
        <w:t>万元，实际执行总额万元；预算绩效评价项目</w:t>
      </w:r>
      <w:r>
        <w:rPr>
          <w:rFonts w:hint="eastAsia" w:ascii="仿宋_GB2312" w:eastAsia="仿宋_GB2312"/>
          <w:b w:val="0"/>
          <w:sz w:val="32"/>
          <w:szCs w:val="32"/>
          <w:lang w:val="en-US" w:eastAsia="zh-CN"/>
        </w:rPr>
        <w:t>7</w:t>
      </w:r>
      <w:r>
        <w:rPr>
          <w:rFonts w:ascii="仿宋_GB2312" w:eastAsia="仿宋_GB2312"/>
          <w:b w:val="0"/>
          <w:sz w:val="32"/>
          <w:szCs w:val="32"/>
        </w:rPr>
        <w:t>个，全年预算数</w:t>
      </w:r>
      <w:r>
        <w:rPr>
          <w:rFonts w:hint="eastAsia" w:ascii="仿宋_GB2312" w:eastAsia="仿宋_GB2312"/>
          <w:b w:val="0"/>
          <w:color w:val="auto"/>
          <w:sz w:val="32"/>
          <w:szCs w:val="32"/>
          <w:lang w:val="en-US" w:eastAsia="zh-CN"/>
        </w:rPr>
        <w:t>1584.08</w:t>
      </w:r>
      <w:r>
        <w:rPr>
          <w:rFonts w:ascii="仿宋_GB2312" w:eastAsia="仿宋_GB2312"/>
          <w:b w:val="0"/>
          <w:sz w:val="32"/>
          <w:szCs w:val="32"/>
        </w:rPr>
        <w:t>万元，全年执行数</w:t>
      </w:r>
      <w:r>
        <w:rPr>
          <w:rFonts w:hint="eastAsia" w:ascii="仿宋_GB2312" w:eastAsia="仿宋_GB2312"/>
          <w:b w:val="0"/>
          <w:color w:val="auto"/>
          <w:sz w:val="32"/>
          <w:szCs w:val="32"/>
          <w:lang w:val="en-US" w:eastAsia="zh-CN"/>
        </w:rPr>
        <w:t>1054.72万元</w:t>
      </w:r>
      <w:r>
        <w:rPr>
          <w:rFonts w:ascii="仿宋_GB2312" w:eastAsia="仿宋_GB2312"/>
          <w:b w:val="0"/>
          <w:sz w:val="32"/>
          <w:szCs w:val="32"/>
        </w:rPr>
        <w:t>。预算绩效管理取得的成效：</w:t>
      </w:r>
      <w:r>
        <w:rPr>
          <w:rFonts w:ascii="仿宋_GB2312" w:eastAsia="仿宋_GB2312"/>
          <w:sz w:val="32"/>
          <w:szCs w:val="32"/>
        </w:rPr>
        <w:t>一是确保干部职工的正常出行；二是保障了</w:t>
      </w:r>
      <w:r>
        <w:rPr>
          <w:rFonts w:hint="eastAsia" w:ascii="仿宋_GB2312" w:eastAsia="仿宋_GB2312"/>
          <w:sz w:val="32"/>
          <w:szCs w:val="32"/>
          <w:lang w:eastAsia="zh-CN"/>
        </w:rPr>
        <w:t>干部职工正常就餐</w:t>
      </w:r>
      <w:r>
        <w:rPr>
          <w:rFonts w:ascii="仿宋_GB2312" w:eastAsia="仿宋_GB2312"/>
          <w:b w:val="0"/>
          <w:sz w:val="32"/>
          <w:szCs w:val="32"/>
        </w:rPr>
        <w:t>。发现的问题及原因：</w:t>
      </w:r>
      <w:r>
        <w:rPr>
          <w:rFonts w:ascii="仿宋_GB2312" w:eastAsia="仿宋_GB2312"/>
          <w:sz w:val="32"/>
          <w:szCs w:val="32"/>
        </w:rPr>
        <w:t>一是公务用车租赁费用未能及时支付；二是公务用车的管理仍需加强</w:t>
      </w:r>
      <w:r>
        <w:rPr>
          <w:rFonts w:ascii="仿宋_GB2312" w:eastAsia="仿宋_GB2312"/>
          <w:b w:val="0"/>
          <w:sz w:val="32"/>
          <w:szCs w:val="32"/>
        </w:rPr>
        <w:t>。下一步改进措施：</w:t>
      </w:r>
      <w:r>
        <w:rPr>
          <w:rFonts w:hint="eastAsia" w:ascii="仿宋_GB2312" w:eastAsia="仿宋_GB2312"/>
          <w:color w:val="auto"/>
          <w:sz w:val="32"/>
          <w:szCs w:val="32"/>
          <w:highlight w:val="none"/>
          <w:lang w:eastAsia="zh-CN"/>
        </w:rPr>
        <w:t>一</w:t>
      </w:r>
      <w:r>
        <w:rPr>
          <w:rFonts w:ascii="仿宋_GB2312" w:eastAsia="仿宋_GB2312"/>
          <w:sz w:val="32"/>
          <w:szCs w:val="32"/>
        </w:rPr>
        <w:t>是加强项目资金用前评估及审批工作，准确估算项目使用资金，严格遵守项目资金审批程序；二是继续加强公务用车维修、保险、</w:t>
      </w:r>
      <w:r>
        <w:rPr>
          <w:rFonts w:hint="eastAsia" w:ascii="仿宋_GB2312" w:eastAsia="仿宋_GB2312"/>
          <w:sz w:val="32"/>
          <w:szCs w:val="32"/>
          <w:lang w:eastAsia="zh-CN"/>
        </w:rPr>
        <w:t>公务车</w:t>
      </w:r>
      <w:r>
        <w:rPr>
          <w:rFonts w:ascii="仿宋_GB2312" w:eastAsia="仿宋_GB2312"/>
          <w:sz w:val="32"/>
          <w:szCs w:val="32"/>
        </w:rPr>
        <w:t>租赁</w:t>
      </w:r>
      <w:r>
        <w:rPr>
          <w:rFonts w:hint="eastAsia" w:ascii="仿宋_GB2312" w:eastAsia="仿宋_GB2312"/>
          <w:sz w:val="32"/>
          <w:szCs w:val="32"/>
          <w:lang w:eastAsia="zh-CN"/>
        </w:rPr>
        <w:t>等</w:t>
      </w:r>
      <w:r>
        <w:rPr>
          <w:rFonts w:ascii="仿宋_GB2312" w:eastAsia="仿宋_GB2312"/>
          <w:sz w:val="32"/>
          <w:szCs w:val="32"/>
        </w:rPr>
        <w:t>监督管理工作</w:t>
      </w:r>
      <w:r>
        <w:rPr>
          <w:rFonts w:ascii="仿宋_GB2312" w:eastAsia="仿宋_GB2312"/>
          <w:b w:val="0"/>
          <w:sz w:val="32"/>
          <w:szCs w:val="32"/>
        </w:rPr>
        <w:t>。具体附部门整体支出绩效自评表，项目支出绩效自评表和部门评价报告。</w:t>
      </w:r>
    </w:p>
    <w:tbl>
      <w:tblPr>
        <w:tblStyle w:val="3"/>
        <w:tblW w:w="84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945"/>
        <w:gridCol w:w="960"/>
        <w:gridCol w:w="1020"/>
        <w:gridCol w:w="1180"/>
        <w:gridCol w:w="635"/>
        <w:gridCol w:w="892"/>
        <w:gridCol w:w="776"/>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23" w:hRule="atLeast"/>
        </w:trPr>
        <w:tc>
          <w:tcPr>
            <w:tcW w:w="843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部门（单位）整体支出绩效目标自评表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0" w:hRule="atLeast"/>
        </w:trPr>
        <w:tc>
          <w:tcPr>
            <w:tcW w:w="843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部门（单位）名称</w:t>
            </w:r>
          </w:p>
        </w:tc>
        <w:tc>
          <w:tcPr>
            <w:tcW w:w="558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1890" w:type="dxa"/>
            <w:gridSpan w:val="2"/>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年度预算（万元）</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资金来源</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年初预算数（万元）</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预算数（调整后）</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189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6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财政资金（万元）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上级资金：</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26.8</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23.85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189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6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本级资金：</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3668.41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2043.07</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2043.8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189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6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其他资金：</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1890" w:type="dxa"/>
            <w:gridSpan w:val="2"/>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3673.41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2069.87</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2067.65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4105" w:type="dxa"/>
            <w:gridSpan w:val="4"/>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33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40" w:hRule="atLeast"/>
        </w:trPr>
        <w:tc>
          <w:tcPr>
            <w:tcW w:w="94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i w:val="0"/>
                <w:iCs w:val="0"/>
                <w:color w:val="000000"/>
                <w:sz w:val="20"/>
                <w:szCs w:val="20"/>
                <w:u w:val="none"/>
              </w:rPr>
            </w:pPr>
          </w:p>
        </w:tc>
        <w:tc>
          <w:tcPr>
            <w:tcW w:w="4105"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1、做好街道、社区包括在编人员、雇员、街道自聘人员、公益性岗位、派驻人员在内的全体在岗工作人员以及12座便民警务站工作人员、街道大联防队员的后勤保障工作。                                                       2、统筹整合辖区行政、社会、公共服务资源，综合协调相关职能部门和驻区企事业单位，为辖区居民提供民生保障、社会治安、城市管理等综合服务；对相关职能部门和驻区企事业单位履行社会管理和公共服务职能情况进行监督、检查和考核。落实维护社会稳定总目标。                                                                  3、强化两个机制和夯实基层基础，促进社区和谐发展，负责协调驻区企事业单位和社会组织为社区居民提供社会事务、民生保障、社会安定、城市管理等综合服务，对驻区企事业单位和社会组织履行社会管理和公共服务职能情况进行监督；承担街道办事处交办的工作任务。</w:t>
            </w:r>
          </w:p>
        </w:tc>
        <w:tc>
          <w:tcPr>
            <w:tcW w:w="3383"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2024年度嵩山街片区管理委员会整体支出全年预算总额为2063.63元，资金执行数2069.87万元，执行率100.3%。其中：年初预算批复的预算数为3673.41万万元，执行数2069.87万元，执行率100.3；年终追减预算数1609.79万元。具体工作内容如下：1、做好街道、社区包括在编人员、雇员、街道自聘人员、在内的全体在岗工作人员的后勤保障工作。2、统筹整合辖区行政、社会、公共服务资源，综合协调相关职能部门和驻区企事业单位，为辖区居民提供对相关职能部门和驻区企事业单位履行社会管理和公共服务职能情况进行监督、检查和考核。3、强化两个机制和夯实基层基础，促进社区和谐发展，负责协调驻区企事业单位和社会组织为社区居民提供社会事务、民生保障、社会安定、城市管理等综合服务，对驻区企事业单位和社会组织履行社会管理和公共服务职能情况进行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三级指标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预期指标值</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指标设定依据</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权重</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实际完成指标值</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运行成本</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管理效率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履职效能</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街道党工委开展”党旗映天山“主题党日活动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=12次/年</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根据嵩山街街道党工委”党旗映天山“主题党日活动计划</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12次/年</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2024年发展党员工作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&gt;=20人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根据嵩山街街道2024年拟发展党员台账</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20人</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开展新时代文明实践活动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&gt;=8次/周</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根据经开区（头屯河区）新时代文明实践所站工作要点</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8次/周</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可持续发展能力</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服务对象满意度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tbl>
      <w:tblPr>
        <w:tblStyle w:val="3"/>
        <w:tblW w:w="102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615"/>
        <w:gridCol w:w="1065"/>
        <w:gridCol w:w="1065"/>
        <w:gridCol w:w="1110"/>
        <w:gridCol w:w="1065"/>
        <w:gridCol w:w="1365"/>
        <w:gridCol w:w="405"/>
        <w:gridCol w:w="405"/>
        <w:gridCol w:w="390"/>
        <w:gridCol w:w="390"/>
        <w:gridCol w:w="705"/>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10275"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0275"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904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社区经费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47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2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151.74</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360</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151.74</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4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47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43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1、资金使用率达95%以上。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2、强化两个机制和夯实基层基础，促进社区和谐发展；</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3、负责协调驻区企事业单位和社会组织为社区居民提供社会事务、民生保障、社会安定、城市管理等综合服务；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4、对驻区企事业单位和社会组织履行社会管理和公共服务职能情况进行监督；承担街道办事处交办的工作任务。</w:t>
            </w:r>
          </w:p>
        </w:tc>
        <w:tc>
          <w:tcPr>
            <w:tcW w:w="474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该项目完成支付151.74万元，使用率42.1%，保障了辖区执勤车辆及基本运转运行。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1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7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7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保障社区数量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=7个</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=7个</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保障车辆数</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=38辆</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资金使用合格率</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资金使用及时性</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车辆运行成本</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&lt;=73万元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=64.03万元</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8.77</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2024年一是根据财力安排支付，二是压缩开支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政府采购业务费成本</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&lt;=30万元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=3.13万元</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0.52</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2024年运行成本优先使用基本运行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其他商品服务支出成本</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&lt;=257万元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=84.59万元</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1.65</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根据财力情况未安排支付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保障业务水平提升</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社区居民满意度</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690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85.16分</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tbl>
      <w:tblPr>
        <w:tblStyle w:val="3"/>
        <w:tblW w:w="99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5"/>
        <w:gridCol w:w="40"/>
        <w:gridCol w:w="453"/>
        <w:gridCol w:w="84"/>
        <w:gridCol w:w="741"/>
        <w:gridCol w:w="27"/>
        <w:gridCol w:w="825"/>
        <w:gridCol w:w="133"/>
        <w:gridCol w:w="166"/>
        <w:gridCol w:w="56"/>
        <w:gridCol w:w="1570"/>
        <w:gridCol w:w="160"/>
        <w:gridCol w:w="696"/>
        <w:gridCol w:w="184"/>
        <w:gridCol w:w="859"/>
        <w:gridCol w:w="253"/>
        <w:gridCol w:w="273"/>
        <w:gridCol w:w="111"/>
        <w:gridCol w:w="399"/>
        <w:gridCol w:w="44"/>
        <w:gridCol w:w="328"/>
        <w:gridCol w:w="223"/>
        <w:gridCol w:w="165"/>
        <w:gridCol w:w="391"/>
        <w:gridCol w:w="290"/>
        <w:gridCol w:w="238"/>
        <w:gridCol w:w="566"/>
        <w:gridCol w:w="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9990" w:type="dxa"/>
            <w:gridSpan w:val="28"/>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9990" w:type="dxa"/>
            <w:gridSpan w:val="28"/>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0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8908"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伙食补助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5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453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0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5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0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0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148.90</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148.9</w:t>
            </w:r>
          </w:p>
        </w:tc>
        <w:tc>
          <w:tcPr>
            <w:tcW w:w="1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91.64</w:t>
            </w:r>
          </w:p>
        </w:tc>
        <w:tc>
          <w:tcPr>
            <w:tcW w:w="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61.54%</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0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148.90</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148.90</w:t>
            </w:r>
          </w:p>
        </w:tc>
        <w:tc>
          <w:tcPr>
            <w:tcW w:w="1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91.64</w:t>
            </w:r>
          </w:p>
        </w:tc>
        <w:tc>
          <w:tcPr>
            <w:tcW w:w="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5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49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4534"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11" w:type="dxa"/>
            <w:gridSpan w:val="11"/>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中共乌鲁木齐市委员会关于进一步加强城市基础建设做好维护社会稳定工作的若干意见相关工作需要，本项目总投资148.90万元，主要用街道、社区包括在编人员、雇员、街道自聘人员、公益性岗位、派驻人员在内的全体在岗工作人员后勤保障工作，有利于保障工作人员后勤工作，通过该项目实施达到做好工作期间的用餐效果。</w:t>
            </w:r>
          </w:p>
        </w:tc>
        <w:tc>
          <w:tcPr>
            <w:tcW w:w="4534"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该项目完成支付91.64元，完成率61.5%，解决街道、社区工作人员用餐问题，保障基层工作人员更好地投入工作。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5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7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8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2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7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7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69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2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69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5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7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社区工作者就餐人数</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&gt;=56人</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=56人</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其他人员就餐人数</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=226人</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=226人</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人员用餐覆盖率</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伙食补助资金拨付及时率</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7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拨付社区工作者餐费金额</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&lt;=29.57万元</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=29.57万元</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拨付其他人员餐费金额</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&lt;=119.33万元</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=62.07万元</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2024年一是根据财力安排支付，二是压缩开支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保障工作人员后勤工作</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用餐人员满意度</w:t>
            </w: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 w:hRule="atLeast"/>
        </w:trPr>
        <w:tc>
          <w:tcPr>
            <w:tcW w:w="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299" w:type="dxa"/>
            <w:gridSpan w:val="2"/>
            <w:tcBorders>
              <w:top w:val="single" w:color="000000" w:sz="4" w:space="0"/>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1626"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2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84"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9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2"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88"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6752"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91.35分</w:t>
            </w:r>
          </w:p>
        </w:tc>
        <w:tc>
          <w:tcPr>
            <w:tcW w:w="16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210" w:hRule="atLeast"/>
        </w:trPr>
        <w:tc>
          <w:tcPr>
            <w:tcW w:w="9780" w:type="dxa"/>
            <w:gridSpan w:val="27"/>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210" w:hRule="atLeast"/>
        </w:trPr>
        <w:tc>
          <w:tcPr>
            <w:tcW w:w="9780" w:type="dxa"/>
            <w:gridSpan w:val="27"/>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9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8782"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上级乌财行【2023】242号关于提前下达2024年工作队为民办实事经费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9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7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41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360" w:hRule="atLeast"/>
        </w:trPr>
        <w:tc>
          <w:tcPr>
            <w:tcW w:w="99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8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11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0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9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8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2.96</w:t>
            </w:r>
          </w:p>
        </w:tc>
        <w:tc>
          <w:tcPr>
            <w:tcW w:w="11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59.20%</w:t>
            </w:r>
          </w:p>
        </w:tc>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360" w:hRule="atLeast"/>
        </w:trPr>
        <w:tc>
          <w:tcPr>
            <w:tcW w:w="9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8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2.96</w:t>
            </w:r>
          </w:p>
        </w:tc>
        <w:tc>
          <w:tcPr>
            <w:tcW w:w="11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360" w:hRule="atLeast"/>
        </w:trPr>
        <w:tc>
          <w:tcPr>
            <w:tcW w:w="9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8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1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499"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513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414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160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35"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项目总投5万元，根据乌鲁木齐市委工作要求和市委组织部《关于市级财政核拨2024年驻社区工作经费的说明》，主要用负责协调驻区企事业单位和社会组织为社区居民提供社会事务、民生保障、社会安定、城市管理等综合服务；对驻区企事业单位和社会组织履行社会管理和公共服务职能情况进行监督；承担街道办事处交办的工作任务，有利于促进社区和谐发展，通过该项目实施达到达到强化两个机制和夯实基层基础，社区和谐发展效果。</w:t>
            </w:r>
          </w:p>
        </w:tc>
        <w:tc>
          <w:tcPr>
            <w:tcW w:w="4140" w:type="dxa"/>
            <w:gridSpan w:val="1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项目完成2.96万元，根据乌鲁木齐市委工作要求和市委组织部《关于市级财政核拨2024年驻社区工作经费的说明》，主要用负责协调驻区企事业单位和社会组织为社区居民提供社会事务、民生保障、社会安定、城市管理等综合服务；对驻区企事业单位和社会组织履行社会管理和公共服务职能情况进行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210"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937"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8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108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10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45"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937"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0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4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保障社区数量</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保障辖区服务面积</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=2平方公里</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=2平方公里</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资金使用合格率</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资金使用及时性</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活动成本</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&lt;=4万元</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=1.96万元</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慰问成本</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&lt;=1万元</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=1万元</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保障业务水平提升</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360" w:hRule="atLeast"/>
        </w:trPr>
        <w:tc>
          <w:tcPr>
            <w:tcW w:w="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937"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社区居民满意度</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4"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85" w:type="dxa"/>
            <w:gridSpan w:val="3"/>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222" w:type="dxa"/>
            <w:gridSpan w:val="2"/>
            <w:tcBorders>
              <w:top w:val="single" w:color="000000" w:sz="4" w:space="0"/>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1730" w:type="dxa"/>
            <w:gridSpan w:val="2"/>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26"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5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51"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56"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10" w:type="dxa"/>
          <w:trHeight w:val="240" w:hRule="atLeast"/>
        </w:trPr>
        <w:tc>
          <w:tcPr>
            <w:tcW w:w="6499"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10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90.82分</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tbl>
      <w:tblPr>
        <w:tblStyle w:val="3"/>
        <w:tblW w:w="91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6"/>
        <w:gridCol w:w="376"/>
        <w:gridCol w:w="1088"/>
        <w:gridCol w:w="344"/>
        <w:gridCol w:w="603"/>
        <w:gridCol w:w="549"/>
        <w:gridCol w:w="1621"/>
        <w:gridCol w:w="1589"/>
        <w:gridCol w:w="347"/>
        <w:gridCol w:w="345"/>
        <w:gridCol w:w="343"/>
        <w:gridCol w:w="393"/>
        <w:gridCol w:w="580"/>
        <w:gridCol w:w="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9105" w:type="dxa"/>
            <w:gridSpan w:val="14"/>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9105" w:type="dxa"/>
            <w:gridSpan w:val="14"/>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835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各类人员补贴（纪检监察公益性）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25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7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7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41.55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41.55</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34.30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82.55%</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8.26分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7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41.55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41.55</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34.3</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7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1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45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3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581"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乌纪办发[2022]16号）及《人力资源和社会保障部、财政部下发的关于调整纪检监察办案人员补贴调准的通知》相关要求，本项目总投资41.55万元，主要用发放公益性岗位补贴及纪检津贴，有利于稳定激励基层干部队伍，通过该项目实施有效提高工作效率。</w:t>
            </w:r>
          </w:p>
        </w:tc>
        <w:tc>
          <w:tcPr>
            <w:tcW w:w="414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该项目完成支付34.3万元，完成率82.5%，保障基层工作人员更好地投入工作。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4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1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6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7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1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纪检津贴发放人数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=4人</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=4人</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岗位补贴</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&gt;=200人</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=200人</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监察信息员人数</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=21人</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=21人</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补贴足额发放率</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补贴发放及时率</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补贴发放完成时间</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2024年12月</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=2024年12月</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纪检津贴</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&lt;=4.23万元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=1.06万元</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2024预算做4人*880元*12月=42240元， 实际为4人*220元*12月=10560元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监察信息员补贴</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&lt;=2.52万元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=2.49万元</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4.94</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人员离职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公益性岗位补贴</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&lt;=34.80万元</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=30.76万元</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4.42</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人员离职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有效提高工作效率</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有效提高</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有效提高</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3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4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补贴人员满意度</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 w:hRule="atLeast"/>
        </w:trPr>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44"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603" w:type="dxa"/>
            <w:tcBorders>
              <w:top w:val="single" w:color="000000" w:sz="4" w:space="0"/>
              <w:left w:val="nil"/>
              <w:bottom w:val="single" w:color="000000" w:sz="4" w:space="0"/>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549"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宋体" w:cs="宋体"/>
                <w:i w:val="0"/>
                <w:iCs w:val="0"/>
                <w:color w:val="000000"/>
                <w:sz w:val="16"/>
                <w:szCs w:val="16"/>
                <w:u w:val="none"/>
              </w:rPr>
            </w:pP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4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4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4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9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654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90.12分</w:t>
            </w:r>
          </w:p>
        </w:tc>
        <w:tc>
          <w:tcPr>
            <w:tcW w:w="11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ascii="仿宋_GB2312" w:eastAsia="仿宋_GB2312"/>
          <w:b w:val="0"/>
          <w:color w:val="FF0000"/>
          <w:sz w:val="32"/>
          <w:szCs w:val="32"/>
        </w:rPr>
      </w:pPr>
    </w:p>
    <w:tbl>
      <w:tblPr>
        <w:tblStyle w:val="3"/>
        <w:tblW w:w="7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1"/>
        <w:gridCol w:w="511"/>
        <w:gridCol w:w="532"/>
        <w:gridCol w:w="518"/>
        <w:gridCol w:w="1080"/>
        <w:gridCol w:w="696"/>
        <w:gridCol w:w="616"/>
        <w:gridCol w:w="467"/>
        <w:gridCol w:w="504"/>
        <w:gridCol w:w="476"/>
        <w:gridCol w:w="537"/>
        <w:gridCol w:w="495"/>
        <w:gridCol w:w="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756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756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653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追加上级乌财社【2023】276号关于提前下达2024年自治区财政就业补助金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21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7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33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7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3337"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2023】276号关于提前下达2024年自治区财政就业补助金项目资金1.8万元，试点单位完成公共就业服务事项设备补充及就业服务机构，为全区公共就业服务标准化提供样板和师范，带动其他公共就业服务机构标准化建设，提升全区公共就业就业服务质量水平。</w:t>
            </w:r>
          </w:p>
        </w:tc>
        <w:tc>
          <w:tcPr>
            <w:tcW w:w="371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1、资金使用率达100%以上。 2、对驻区企事业单位和社会组织履行社会管理和公共服务职能情况进行监督；承担街道办事处交办的工作任务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5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9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0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开设公共就业窗口</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配备专职人员</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=1人</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=1人</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采购程序合格率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资金使用及时性</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购置一体机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&lt;=0.3万元</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=0.3万元</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购置复印机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&lt;=1.50万元</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=1.5万元</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保障业务水平提升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有效提升</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5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就业人员满意度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44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100.00分</w:t>
            </w:r>
          </w:p>
        </w:tc>
        <w:tc>
          <w:tcPr>
            <w:tcW w:w="1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tbl>
      <w:tblPr>
        <w:tblStyle w:val="3"/>
        <w:tblW w:w="7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9"/>
        <w:gridCol w:w="429"/>
        <w:gridCol w:w="515"/>
        <w:gridCol w:w="802"/>
        <w:gridCol w:w="1974"/>
        <w:gridCol w:w="696"/>
        <w:gridCol w:w="696"/>
        <w:gridCol w:w="244"/>
        <w:gridCol w:w="400"/>
        <w:gridCol w:w="282"/>
        <w:gridCol w:w="537"/>
        <w:gridCol w:w="360"/>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798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798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1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追加上级乌财行【2024】114号关于下达2024年自治区基层组织建设资金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2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1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8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8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8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8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3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1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泰山街社区2024年度社区“石榴籽服务站”建设项目经费,项目资金20万元，其中上级资金20万元，主要用于石榴籽服务站建设，负责协调驻区企事业单位和社会组织为社区居民提供社会事务、民生保障、社会安定、城市管理等综合服务。</w:t>
            </w:r>
          </w:p>
        </w:tc>
        <w:tc>
          <w:tcPr>
            <w:tcW w:w="3135"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泰山街社区2024年度社区“石榴籽服务站”建设项目经费,项目资金20万元，其中上级资金20万元，资金使用率达100%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7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64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8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64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建设社区阵地数量</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“石榴籽服务站”服务面积</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&gt;=200平方米</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=200平方米</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资金使用合规率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资金使用及时率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计划改造费用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&lt;=3.26万元</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=3.26万元</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计划打造“石榴籽服务站”项目费用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=16.74万元</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=16.74万元</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提升服务保障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有效保障</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7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&gt;=90%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5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100.00分</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both"/>
        <w:rPr>
          <w:rFonts w:ascii="仿宋_GB2312" w:eastAsia="仿宋_GB2312"/>
          <w:b w:val="0"/>
          <w:color w:val="FF0000"/>
          <w:sz w:val="32"/>
          <w:szCs w:val="32"/>
        </w:rPr>
      </w:pPr>
    </w:p>
    <w:tbl>
      <w:tblPr>
        <w:tblStyle w:val="3"/>
        <w:tblW w:w="8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4"/>
        <w:gridCol w:w="494"/>
        <w:gridCol w:w="549"/>
        <w:gridCol w:w="618"/>
        <w:gridCol w:w="1838"/>
        <w:gridCol w:w="856"/>
        <w:gridCol w:w="776"/>
        <w:gridCol w:w="373"/>
        <w:gridCol w:w="474"/>
        <w:gridCol w:w="390"/>
        <w:gridCol w:w="533"/>
        <w:gridCol w:w="435"/>
        <w:gridCol w:w="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840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0" w:hRule="atLeast"/>
        </w:trPr>
        <w:tc>
          <w:tcPr>
            <w:tcW w:w="8400" w:type="dxa"/>
            <w:gridSpan w:val="1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9" w:hRule="atLeast"/>
        </w:trPr>
        <w:tc>
          <w:tcPr>
            <w:tcW w:w="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41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市容环卫作业服务费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嵩山街街道办事处</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乌鲁木齐经济技术开发区（乌鲁木齐市头屯河区）嵩山街片区管理委员会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1006.83</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1006.83</w:t>
            </w:r>
          </w:p>
        </w:tc>
        <w:tc>
          <w:tcPr>
            <w:tcW w:w="1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752.28</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74.72%</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7.47分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其中：当年财政拨款</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1006.83</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1006.83</w:t>
            </w:r>
          </w:p>
        </w:tc>
        <w:tc>
          <w:tcPr>
            <w:tcW w:w="1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752.28</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43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35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充分体现“以人为本”原则和落实“为人民管理城市”人基本理念，做到文明、清洁、安全和有序，最大限度提高城市环境卫生管理水平和质量。</w:t>
            </w:r>
          </w:p>
        </w:tc>
        <w:tc>
          <w:tcPr>
            <w:tcW w:w="355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该项目完成支付752.28万元，完成率74.7%，做到文明、清洁、安全和有序，最大限度提高城市环境卫生管理水平和质量。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0"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24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8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9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0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4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8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9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年度绩效指标完成情况</w:t>
            </w:r>
          </w:p>
        </w:tc>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保障开发区二期标段服务期限</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=12个月</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=12个月</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保障开发区合作区标段服务期限</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=12个月</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=12个月</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资金使用合格率</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资金节约，剩余资金未使用完毕，措施：后期精准预算，提前做好资金支付准备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经费使用及时率</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资金节约，剩余资金未使用完毕，措施：后期精准预算，提前做好资金支付准备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鑫和新环卫绿化有限公司</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&lt;=577.78万元</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=378.93万元</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资金节约，剩余资金未使用完毕，措施：后期精准预算，提前做好资金支付准备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新纪元环卫有限责任公司</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&lt;=429.05万元</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=373.35万元</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8.7</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资金节约，剩余资金未使用完毕，措施：后期精准预算，提前做好资金支付准备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有效提升城市环境卫生</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有效提升</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有效提升</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24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提升辖区居民群众满意度</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562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92.77分</w:t>
            </w:r>
          </w:p>
        </w:tc>
        <w:tc>
          <w:tcPr>
            <w:tcW w:w="10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16"/>
                <w:szCs w:val="16"/>
                <w:u w:val="none"/>
              </w:rPr>
            </w:pPr>
          </w:p>
        </w:tc>
      </w:tr>
    </w:tbl>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ascii="仿宋_GB2312" w:eastAsia="仿宋_GB2312"/>
          <w:b w:val="0"/>
          <w:sz w:val="32"/>
          <w:szCs w:val="32"/>
        </w:rPr>
      </w:pP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w:t>
      </w:r>
      <w:r>
        <w:rPr>
          <w:rFonts w:hint="eastAsia" w:ascii="仿宋_GB2312" w:eastAsia="仿宋_GB2312"/>
          <w:b w:val="0"/>
          <w:sz w:val="32"/>
          <w:szCs w:val="32"/>
          <w:lang w:val="en-US" w:eastAsia="zh-CN"/>
        </w:rPr>
        <w:t>单位</w:t>
      </w:r>
      <w:bookmarkStart w:id="0" w:name="_GoBack"/>
      <w:bookmarkEnd w:id="0"/>
      <w:r>
        <w:rPr>
          <w:rFonts w:ascii="仿宋_GB2312" w:eastAsia="仿宋_GB2312"/>
          <w:b w:val="0"/>
          <w:sz w:val="32"/>
          <w:szCs w:val="32"/>
        </w:rPr>
        <w:t>无其他需说明事项。</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第三部分 专业名词解释</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第四部分 部门决算报表（见附表）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compat>
    <w:useFELayout/>
    <w:splitPgBreakAndParaMark/>
    <w:compatSetting w:name="compatibilityMode" w:uri="http://schemas.microsoft.com/office/word" w:val="12"/>
  </w:compat>
  <w:rsids>
    <w:rsidRoot w:val="00000000"/>
    <w:rsid w:val="078C3608"/>
    <w:rsid w:val="170F1686"/>
    <w:rsid w:val="1E9A283A"/>
    <w:rsid w:val="292B32D5"/>
    <w:rsid w:val="35AA7F9F"/>
    <w:rsid w:val="364D39B9"/>
    <w:rsid w:val="37313055"/>
    <w:rsid w:val="41244671"/>
    <w:rsid w:val="611B3D44"/>
    <w:rsid w:val="662B39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4">
    <w:name w:val="Default Paragraph Font"/>
    <w:semiHidden/>
    <w:uiPriority w:val="0"/>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2025-11-05T13:55:14Z</dcterms:created>
  <dc:creator>rz</dc:creator>
  <cp:lastModifiedBy>rz</cp:lastModifiedBy>
  <dcterms:modified xsi:type="dcterms:W3CDTF">2025-11-05T14:12:13Z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