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0" w:beforeLines="0" w:beforeAutospacing="0" w:after="0" w:afterLines="0" w:afterAutospacing="0" w:line="240" w:lineRule="auto"/>
        <w:jc w:val="left"/>
        <w:rPr>
          <w:rFonts w:ascii="宋体" w:eastAsia="宋体"/>
          <w:sz w:val="32"/>
          <w:szCs w:val="32"/>
        </w:rPr>
      </w:pPr>
    </w:p>
    <w:p>
      <w:pPr>
        <w:widowControl/>
        <w:spacing w:before="0" w:beforeLines="0" w:beforeAutospacing="0" w:after="0" w:afterLines="0" w:afterAutospacing="0" w:line="240" w:lineRule="auto"/>
        <w:jc w:val="left"/>
        <w:rPr>
          <w:rFonts w:ascii="宋体" w:eastAsia="宋体"/>
          <w:sz w:val="44"/>
          <w:szCs w:val="44"/>
        </w:rPr>
      </w:pPr>
    </w:p>
    <w:p>
      <w:pPr>
        <w:widowControl/>
        <w:spacing w:before="0" w:beforeLines="0" w:beforeAutospacing="0" w:after="0" w:afterLines="0" w:afterAutospacing="0" w:line="240" w:lineRule="auto"/>
        <w:jc w:val="left"/>
        <w:rPr>
          <w:rFonts w:ascii="宋体" w:eastAsia="宋体"/>
          <w:sz w:val="44"/>
          <w:szCs w:val="44"/>
        </w:rPr>
      </w:pPr>
    </w:p>
    <w:p>
      <w:pPr>
        <w:widowControl/>
        <w:spacing w:before="0" w:beforeLines="0" w:beforeAutospacing="0" w:after="0" w:afterLines="0" w:afterAutospacing="0" w:line="240" w:lineRule="auto"/>
        <w:jc w:val="left"/>
        <w:rPr>
          <w:rFonts w:ascii="宋体" w:eastAsia="宋体"/>
          <w:sz w:val="44"/>
          <w:szCs w:val="44"/>
        </w:rPr>
      </w:pPr>
    </w:p>
    <w:p>
      <w:pPr>
        <w:widowControl/>
        <w:spacing w:before="0" w:beforeLines="0" w:beforeAutospacing="0" w:after="0" w:afterLines="0" w:afterAutospacing="0" w:line="240" w:lineRule="auto"/>
        <w:jc w:val="center"/>
        <w:outlineLvl w:val="0"/>
        <w:rPr>
          <w:rFonts w:ascii="宋体" w:eastAsia="黑体"/>
          <w:sz w:val="44"/>
          <w:szCs w:val="44"/>
        </w:rPr>
      </w:pPr>
      <w:r>
        <w:rPr>
          <w:rFonts w:ascii="宋体" w:eastAsia="黑体"/>
          <w:b w:val="0"/>
          <w:sz w:val="44"/>
          <w:szCs w:val="44"/>
        </w:rPr>
        <w:t>乌鲁木齐市第六幼儿园</w:t>
      </w:r>
    </w:p>
    <w:p>
      <w:pPr>
        <w:widowControl/>
        <w:spacing w:before="0" w:beforeLines="0" w:beforeAutospacing="0" w:after="0" w:afterLines="0" w:afterAutospacing="0" w:line="240" w:lineRule="auto"/>
        <w:jc w:val="center"/>
        <w:outlineLvl w:val="0"/>
        <w:rPr>
          <w:rFonts w:ascii="黑体" w:eastAsia="黑体"/>
          <w:sz w:val="44"/>
          <w:szCs w:val="44"/>
        </w:rPr>
      </w:pPr>
      <w:r>
        <w:rPr>
          <w:rFonts w:ascii="黑体" w:eastAsia="黑体"/>
          <w:b w:val="0"/>
          <w:sz w:val="44"/>
          <w:szCs w:val="44"/>
        </w:rPr>
        <w:t>2024年度部门决算公开说明</w:t>
      </w:r>
    </w:p>
    <w:p>
      <w:pPr>
        <w:widowControl/>
      </w:pPr>
      <w:r>
        <w:rPr>
          <w:b w:val="0"/>
          <w:sz w:val="0"/>
          <w:szCs w:val="0"/>
        </w:rPr>
        <w:br w:type="page"/>
      </w:r>
    </w:p>
    <w:p>
      <w:pPr>
        <w:widowControl/>
        <w:spacing w:before="0" w:beforeLines="0" w:beforeAutospacing="0" w:after="0" w:afterLines="0" w:afterAutospacing="0" w:line="240" w:lineRule="auto"/>
        <w:jc w:val="center"/>
        <w:rPr>
          <w:rFonts w:ascii="黑体" w:eastAsia="黑体"/>
          <w:sz w:val="32"/>
          <w:szCs w:val="32"/>
        </w:rPr>
      </w:pPr>
      <w:r>
        <w:rPr>
          <w:rFonts w:ascii="黑体" w:eastAsia="黑体"/>
          <w:b/>
          <w:sz w:val="32"/>
          <w:szCs w:val="32"/>
        </w:rPr>
        <w:t>目  录</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第一部分单位概况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一、主要职能</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二、机构设置及人员情况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第二部分 部门决算情况说明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一、收入支出决算总体情况说明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四、财政拨款收入支出决算总体情况说明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（一）一般公共预算财政拨款支出决算总体情况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（二）一般公共预算财政拨款支出决算结构情况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（三）一般公共预算财政拨款支出决算具体情况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​十、其他重要事项的情况说明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（一）机关运行经费及公用经费支出情况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（二）政府采购情况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（三）国有资产占用情况说明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十一、预算绩效的情况说明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十二、其他需说明的事项</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第三部分 专业名词解释</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第四部分 部门决算报表（见附表）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九、《财政拨款“三公”经费支出决算表》</w:t>
      </w:r>
    </w:p>
    <w:p>
      <w:pPr>
        <w:widowControl/>
      </w:pPr>
      <w:r>
        <w:rPr>
          <w:b w:val="0"/>
          <w:sz w:val="0"/>
          <w:szCs w:val="0"/>
        </w:rP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第一部分 单位概况</w:t>
      </w:r>
    </w:p>
    <w:p>
      <w:pPr>
        <w:widowControl/>
        <w:numPr>
          <w:ilvl w:val="0"/>
          <w:numId w:val="1"/>
        </w:numPr>
        <w:spacing w:before="0" w:beforeLines="0" w:beforeAutospacing="0" w:after="0" w:afterLines="0" w:afterAutospacing="0" w:line="240" w:lineRule="auto"/>
        <w:ind w:left="712" w:leftChars="0" w:firstLine="0" w:firstLineChars="0"/>
        <w:jc w:val="left"/>
        <w:outlineLvl w:val="1"/>
        <w:rPr>
          <w:rFonts w:ascii="黑体" w:eastAsia="黑体"/>
          <w:b w:val="0"/>
          <w:sz w:val="32"/>
          <w:szCs w:val="32"/>
        </w:rPr>
      </w:pPr>
      <w:r>
        <w:rPr>
          <w:rFonts w:ascii="黑体" w:eastAsia="黑体"/>
          <w:b w:val="0"/>
          <w:sz w:val="32"/>
          <w:szCs w:val="32"/>
        </w:rPr>
        <w:t>主要职能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1.认真贯彻《中华人民共和国教育法》、《幼儿园管理条例》、《幼儿园教育指导纲要》和《幼儿园工作规程》，规范幼儿园各项工作。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.强化幼儿园内部管理，加强师资队伍建设，建设建立科学、有效的用工制度和人事分配制度等激励机制，调动广大职工的工作热情和工作积极性，提高教学质量和服务质量。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.从实际出发，因地制宜地实施素质教育，为幼儿一生发展打下好基础。尊重幼儿身心发展的规律和学习特点，以游戏为基本活动，保教并重，关注个别差异，促进身心和谐发展，促进每个幼儿富有个性的发展。</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outlineLvl w:val="1"/>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.与家庭、社区密切合作，与小学互相衔接，综合利用各种教育资源，共同为幼儿的发展创造良好的条件。</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240" w:lineRule="auto"/>
        <w:ind w:firstLine="640" w:firstLineChars="200"/>
        <w:jc w:val="left"/>
        <w:textAlignment w:val="auto"/>
        <w:outlineLvl w:val="1"/>
        <w:rPr>
          <w:rFonts w:ascii="黑体" w:eastAsia="黑体"/>
          <w:b w:val="0"/>
          <w:sz w:val="32"/>
          <w:szCs w:val="32"/>
        </w:rPr>
      </w:pP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.为幼儿提供健康、丰富的生活和活动环境，满足幼儿多方面发展的需要，使他们在快乐的童年生活中获得有益于身心发展的经验。</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二、机构设置及人员情况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乌鲁木齐市第六幼儿园2024年度，实有人数111人，其中：在职人员56人，增加6人；离休人员0人，较上年无变化；退休人员55人，增加55人。</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乌鲁木齐市第六幼儿园无下属预算单位，下设</w:t>
      </w:r>
      <w:r>
        <w:rPr>
          <w:rFonts w:hint="eastAsia" w:ascii="仿宋_GB2312" w:eastAsia="仿宋_GB2312"/>
          <w:sz w:val="32"/>
          <w:szCs w:val="32"/>
          <w:highlight w:val="none"/>
        </w:rPr>
        <w:t>5个处室，分别是：园长室、保教室、办公室、总务室、财务室</w:t>
      </w:r>
      <w:r>
        <w:rPr>
          <w:rFonts w:ascii="仿宋_GB2312" w:eastAsia="仿宋_GB2312"/>
          <w:b w:val="0"/>
          <w:sz w:val="32"/>
          <w:szCs w:val="32"/>
        </w:rPr>
        <w:t>。</w:t>
      </w:r>
    </w:p>
    <w:p>
      <w:pPr>
        <w:widowControl/>
      </w:pPr>
      <w:r>
        <w:rPr>
          <w:b w:val="0"/>
          <w:sz w:val="0"/>
          <w:szCs w:val="0"/>
        </w:rP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第二部分 部门决算情况说明</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一、收入支出决算总体情况说明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2024年度收入总计865.73万元，其中：本年收入合计865.73万元，使用非财政拨款结余（含专用结余）0.00万元，年初结转和结余0.00万元。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2024年度支出总计865.73万元，其中：本年支出合计865.73万元，结余分配0.00万元，年末结转和结余0.00万元。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收入支出总体与上年相比，减少14.95万元，下降1.70%，主要原因是：</w:t>
      </w:r>
      <w:r>
        <w:rPr>
          <w:rFonts w:hint="eastAsia" w:ascii="仿宋_GB2312" w:eastAsia="仿宋_GB2312"/>
          <w:b w:val="0"/>
          <w:sz w:val="32"/>
          <w:szCs w:val="32"/>
          <w:lang w:val="en-US" w:eastAsia="zh-CN"/>
        </w:rPr>
        <w:t>2024年共5名在编教师退休，工资收入减少</w:t>
      </w:r>
      <w:r>
        <w:rPr>
          <w:rFonts w:ascii="仿宋_GB2312" w:eastAsia="仿宋_GB2312"/>
          <w:b w:val="0"/>
          <w:sz w:val="32"/>
          <w:szCs w:val="32"/>
        </w:rPr>
        <w:t>。</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二、收入决算情况说明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本年收入865.73万元，其中：财政拨款收入865.73万元,占100.00%；上级补助收入0.00万元,占0.00%；事业收入0.00万元，占0.00%；经营收入0.00万元,占0.00%；附属单位上缴收入0.00万元，占0.00%；其他收入0.00万元，占0.00%。</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三、支出决算情况说明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本年支出865.73万元，其中：基本支出841.30万元，占97.18%；项目支出24.43万元，占2.82%；上缴上级支出0.00万元，占0.00%；经营支出0.00万元，占0.00%；对附属单位补助支出0.00万元，占0.00%。</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四、财政拨款收入支出决算总体情况说明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2024年度财政拨款收入总计865.73万元，其中：年初财政拨款结转和结余0.00万元，本年财政拨款收入865.73万元。财政拨款支出总计865.73万元，其中：年末财政拨款结转和结余0.00万元，本年财政拨款支出865.73万元。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财政拨款收入支出总体与上年相比，减少14.95万元，下降1.70%，主要原因是：</w:t>
      </w:r>
      <w:r>
        <w:rPr>
          <w:rFonts w:hint="eastAsia" w:ascii="仿宋_GB2312" w:eastAsia="仿宋_GB2312"/>
          <w:b w:val="0"/>
          <w:sz w:val="32"/>
          <w:szCs w:val="32"/>
          <w:lang w:val="en-US" w:eastAsia="zh-CN"/>
        </w:rPr>
        <w:t>2024年共5名在编教师退休，工资收入减少</w:t>
      </w:r>
      <w:r>
        <w:rPr>
          <w:rFonts w:ascii="仿宋_GB2312" w:eastAsia="仿宋_GB2312"/>
          <w:b w:val="0"/>
          <w:sz w:val="32"/>
          <w:szCs w:val="32"/>
        </w:rPr>
        <w:t>。与年初预算相比，年初预算数1,151.55万元，决算数865.73万元，预决算差异率-24.82%，主要原因是：</w:t>
      </w:r>
      <w:r>
        <w:rPr>
          <w:rFonts w:hint="eastAsia" w:ascii="仿宋_GB2312" w:eastAsia="仿宋_GB2312"/>
          <w:b w:val="0"/>
          <w:sz w:val="32"/>
          <w:szCs w:val="32"/>
          <w:lang w:val="en-US" w:eastAsia="zh-CN"/>
        </w:rPr>
        <w:t>2024年共5名在编教师退休工资收入减少</w:t>
      </w:r>
      <w:r>
        <w:rPr>
          <w:rFonts w:ascii="仿宋_GB2312" w:eastAsia="仿宋_GB2312"/>
          <w:b w:val="0"/>
          <w:sz w:val="32"/>
          <w:szCs w:val="32"/>
        </w:rPr>
        <w:t>。</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五、一般公共预算财政拨款支出决算情况说明</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（一）一般公共预算财政拨款支出决算总体情况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2024年度一般公共预算财政拨款支出865.73万元，占本年支出合计的100.00%。与上年相比，减少14.95万元，下降1.70%，主要原因是：</w:t>
      </w:r>
      <w:r>
        <w:rPr>
          <w:rFonts w:hint="eastAsia" w:ascii="仿宋_GB2312" w:eastAsia="仿宋_GB2312"/>
          <w:b w:val="0"/>
          <w:sz w:val="32"/>
          <w:szCs w:val="32"/>
          <w:lang w:val="en-US" w:eastAsia="zh-CN"/>
        </w:rPr>
        <w:t>2024年共5名在编教师退休，工资支出减少</w:t>
      </w:r>
      <w:r>
        <w:rPr>
          <w:rFonts w:ascii="仿宋_GB2312" w:eastAsia="仿宋_GB2312"/>
          <w:b w:val="0"/>
          <w:sz w:val="32"/>
          <w:szCs w:val="32"/>
        </w:rPr>
        <w:t>。与年初预算相比，年初预算数1,151.55万元，决算数865.73万元，预决算差异率-24.82%，主要原因是：</w:t>
      </w:r>
      <w:r>
        <w:rPr>
          <w:rFonts w:hint="eastAsia" w:ascii="仿宋_GB2312" w:eastAsia="仿宋_GB2312"/>
          <w:b w:val="0"/>
          <w:sz w:val="32"/>
          <w:szCs w:val="32"/>
          <w:lang w:val="en-US" w:eastAsia="zh-CN"/>
        </w:rPr>
        <w:t>2024年共5名在编教师退休，工资支出减少</w:t>
      </w:r>
      <w:r>
        <w:rPr>
          <w:rFonts w:ascii="仿宋_GB2312" w:eastAsia="仿宋_GB2312"/>
          <w:b w:val="0"/>
          <w:sz w:val="32"/>
          <w:szCs w:val="32"/>
        </w:rPr>
        <w:t>。</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（二）一般公共预算财政拨款支出决算结构情况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教育支出（类）865.73万元，占100.00%。</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（三）一般公共预算财政拨款支出决算具体情况</w:t>
      </w:r>
    </w:p>
    <w:p>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1、教育支出（类）普通教育（款）学前教育（项）：支出决算数为852.20万元，比上年决算减少28.48万元，下降3.23%，主要原因是：</w:t>
      </w:r>
      <w:r>
        <w:rPr>
          <w:rFonts w:hint="eastAsia" w:ascii="仿宋_GB2312" w:eastAsia="仿宋_GB2312"/>
          <w:b w:val="0"/>
          <w:sz w:val="32"/>
          <w:szCs w:val="32"/>
          <w:lang w:val="en-US" w:eastAsia="zh-CN"/>
        </w:rPr>
        <w:t>2024年共5名在编教师退休，工资支出减少。</w:t>
      </w:r>
    </w:p>
    <w:p>
      <w:pPr>
        <w:widowControl/>
        <w:spacing w:before="0" w:beforeLines="0" w:beforeAutospacing="0" w:after="0" w:afterLines="0" w:afterAutospacing="0" w:line="240" w:lineRule="auto"/>
        <w:ind w:firstLine="640" w:firstLineChars="200"/>
        <w:rPr>
          <w:rFonts w:hint="default" w:ascii="仿宋_GB2312" w:eastAsia="仿宋_GB2312"/>
          <w:sz w:val="32"/>
          <w:szCs w:val="32"/>
          <w:lang w:val="en-US" w:eastAsia="zh-CN"/>
        </w:rPr>
      </w:pPr>
      <w:r>
        <w:rPr>
          <w:rFonts w:ascii="仿宋_GB2312" w:eastAsia="仿宋_GB2312"/>
          <w:b w:val="0"/>
          <w:sz w:val="32"/>
          <w:szCs w:val="32"/>
        </w:rPr>
        <w:t>2、教育支出（类）普通教育（款）其他普通教育支出（项）：支出决算数为13.53万元，比上年决算增加13.53万元，增长100.00%，主要原因是：</w:t>
      </w:r>
      <w:r>
        <w:rPr>
          <w:rFonts w:hint="eastAsia" w:ascii="仿宋_GB2312" w:eastAsia="仿宋_GB2312"/>
          <w:b w:val="0"/>
          <w:sz w:val="32"/>
          <w:szCs w:val="32"/>
          <w:lang w:val="en-US" w:eastAsia="zh-CN"/>
        </w:rPr>
        <w:t>2024年度新增上级乌财科教【2023】170号关于提前下达2024年自治区教育项目经费预算的通知—聘用教师的项目。</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六、一般公共预算财政拨款基本支出决算情况说明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基本支出841.30万元，其中：人员经费789.02万元，包括：基本工资、津贴补贴、奖金、绩效工资、机关事业单位基本养老保险缴费、职业年金缴费、职工基本医疗保险缴费、公务员医疗补助缴费、其他社会保障缴费和住房公积金。</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公用经费52.28万元，包括：办公费、水费、电费、邮电费、取暖费、物业管理费、维修（护）费、培训费、工会经费、福利费、公务用车运行维护费、其他交通费用、其他商品和服务支出和办公设备购置。</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七、政府性基金预算财政拨款收入支出决算情况说明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本单位本年度无政府性基金预算财政拨款收入、支出及结转和结余，政府性基金预算财政拨款收入支出决算表为空表。</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八、国有资本经营预算财政拨款收入支出决算情况说明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本单位本年度无国有资本经营预算财政拨款收入、支出及结转和结余，国有资本经营预算财政拨款收入支出决算表为空表。</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九、财政拨款“三公”经费支出决算情况说明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2024年度财政拨款“三公”经费支出0.60万元，比上年减少0.47万元，下降43.93%，主要原因是：</w:t>
      </w:r>
      <w:r>
        <w:rPr>
          <w:rFonts w:hint="eastAsia" w:ascii="仿宋_GB2312" w:eastAsia="仿宋_GB2312"/>
          <w:b w:val="0"/>
          <w:sz w:val="32"/>
          <w:szCs w:val="32"/>
          <w:lang w:val="en-US" w:eastAsia="zh-CN"/>
        </w:rPr>
        <w:t>我单位2024年</w:t>
      </w:r>
      <w:r>
        <w:rPr>
          <w:rFonts w:hint="eastAsia" w:ascii="仿宋_GB2312" w:eastAsia="仿宋_GB2312"/>
          <w:b w:val="0"/>
          <w:sz w:val="32"/>
          <w:szCs w:val="32"/>
        </w:rPr>
        <w:t>本着节俭高效的原则，进一步加强公务用车管理，减少费用支出</w:t>
      </w:r>
      <w:r>
        <w:rPr>
          <w:rFonts w:ascii="仿宋_GB2312" w:eastAsia="仿宋_GB2312"/>
          <w:b w:val="0"/>
          <w:sz w:val="32"/>
          <w:szCs w:val="32"/>
        </w:rPr>
        <w:t>。其中：因公出国（境）费支出0.00万元,占0.00%，与上年相比无变化，主要原因是：</w:t>
      </w:r>
      <w:r>
        <w:rPr>
          <w:rFonts w:hint="eastAsia" w:ascii="仿宋_GB2312" w:eastAsia="仿宋_GB2312"/>
          <w:b w:val="0"/>
          <w:sz w:val="32"/>
          <w:szCs w:val="32"/>
        </w:rPr>
        <w:t>我单位无因公出国（境）费</w:t>
      </w:r>
      <w:r>
        <w:rPr>
          <w:rFonts w:ascii="仿宋_GB2312" w:eastAsia="仿宋_GB2312"/>
          <w:b w:val="0"/>
          <w:sz w:val="32"/>
          <w:szCs w:val="32"/>
        </w:rPr>
        <w:t>；公务用车购置及运行维护费支出0.60万元，占100.00%，比上年减少0.47万元，下降43.93%，主要原因是：</w:t>
      </w:r>
      <w:r>
        <w:rPr>
          <w:rFonts w:hint="eastAsia" w:ascii="仿宋_GB2312" w:eastAsia="仿宋_GB2312"/>
          <w:b w:val="0"/>
          <w:sz w:val="32"/>
          <w:szCs w:val="32"/>
          <w:lang w:val="en-US" w:eastAsia="zh-CN"/>
        </w:rPr>
        <w:t>我单位2024年</w:t>
      </w:r>
      <w:r>
        <w:rPr>
          <w:rFonts w:hint="eastAsia" w:ascii="仿宋_GB2312" w:eastAsia="仿宋_GB2312"/>
          <w:b w:val="0"/>
          <w:sz w:val="32"/>
          <w:szCs w:val="32"/>
        </w:rPr>
        <w:t>本着节俭高效的原则，进一步加强公务用车管理，减少费用支出</w:t>
      </w:r>
      <w:r>
        <w:rPr>
          <w:rFonts w:ascii="仿宋_GB2312" w:eastAsia="仿宋_GB2312"/>
          <w:b w:val="0"/>
          <w:sz w:val="32"/>
          <w:szCs w:val="32"/>
        </w:rPr>
        <w:t>；公务接待费支出0.00万元，占0.00%，与上年相比无变化，主要原因是：</w:t>
      </w:r>
      <w:r>
        <w:rPr>
          <w:rFonts w:hint="eastAsia" w:ascii="仿宋_GB2312" w:eastAsia="仿宋_GB2312"/>
          <w:sz w:val="32"/>
          <w:szCs w:val="32"/>
          <w:highlight w:val="none"/>
        </w:rPr>
        <w:t>我单位无公务接待费</w:t>
      </w:r>
      <w:r>
        <w:rPr>
          <w:rFonts w:ascii="仿宋_GB2312" w:eastAsia="仿宋_GB2312"/>
          <w:b w:val="0"/>
          <w:sz w:val="32"/>
          <w:szCs w:val="32"/>
        </w:rPr>
        <w:t>。</w:t>
      </w:r>
    </w:p>
    <w:p>
      <w:pPr>
        <w:widowControl/>
        <w:spacing w:before="0" w:beforeLines="0" w:beforeAutospacing="0" w:after="0" w:afterLines="0" w:afterAutospacing="0" w:line="240" w:lineRule="auto"/>
        <w:ind w:firstLine="640" w:firstLineChars="200"/>
        <w:jc w:val="left"/>
        <w:rPr>
          <w:rFonts w:ascii="仿宋_GB2312" w:eastAsia="仿宋_GB2312"/>
          <w:sz w:val="32"/>
          <w:szCs w:val="32"/>
        </w:rPr>
      </w:pPr>
      <w:r>
        <w:rPr>
          <w:rFonts w:ascii="仿宋_GB2312" w:eastAsia="仿宋_GB2312"/>
          <w:b w:val="0"/>
          <w:sz w:val="32"/>
          <w:szCs w:val="32"/>
        </w:rPr>
        <w:t>具体情况如下：</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因公出国（境）费支出0.00万元，开支内容包括。单位全年安排的因公出国（境）团组0个，因公出国（境）0人次。</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用车购置及运行维护费0.60万元，其中：公务用车购置费0.00万元，公务用车运行维护费0.60万元。公务用车运行维护费开支内容包括。公务用车购置数0辆，公务用车保有量1辆。国有资产占用情况中固定资产车辆0辆，与公务用车保有量差异原因是：</w:t>
      </w:r>
      <w:r>
        <w:rPr>
          <w:rFonts w:hint="eastAsia" w:ascii="仿宋_GB2312" w:eastAsia="仿宋_GB2312"/>
          <w:b w:val="0"/>
          <w:sz w:val="32"/>
          <w:szCs w:val="32"/>
        </w:rPr>
        <w:t>我单位租赁公务用车1辆</w:t>
      </w:r>
      <w:r>
        <w:rPr>
          <w:rFonts w:ascii="仿宋_GB2312" w:eastAsia="仿宋_GB2312"/>
          <w:b w:val="0"/>
          <w:sz w:val="32"/>
          <w:szCs w:val="32"/>
        </w:rPr>
        <w:t>。</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公务接待费0.00万元，开支内容包括</w:t>
      </w:r>
      <w:r>
        <w:rPr>
          <w:rFonts w:hint="eastAsia" w:ascii="仿宋_GB2312" w:eastAsia="仿宋_GB2312"/>
          <w:b w:val="0"/>
          <w:sz w:val="32"/>
          <w:szCs w:val="32"/>
        </w:rPr>
        <w:t>我单位无公务接待费</w:t>
      </w:r>
      <w:r>
        <w:rPr>
          <w:rFonts w:ascii="仿宋_GB2312" w:eastAsia="仿宋_GB2312"/>
          <w:b w:val="0"/>
          <w:sz w:val="32"/>
          <w:szCs w:val="32"/>
        </w:rPr>
        <w:t>。单位全年安排的国内公务接待0批次，0人次。</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与全年预算相比，财政拨款“三公”经费支出全年预算数4.91万元，决算数0.60万元，预决算差异率-87.78%，主要原因是：</w:t>
      </w:r>
      <w:r>
        <w:rPr>
          <w:rFonts w:hint="eastAsia" w:ascii="仿宋_GB2312" w:eastAsia="仿宋_GB2312"/>
          <w:b w:val="0"/>
          <w:sz w:val="32"/>
          <w:szCs w:val="32"/>
          <w:lang w:val="en-US" w:eastAsia="zh-CN"/>
        </w:rPr>
        <w:t>我单位2024年</w:t>
      </w:r>
      <w:r>
        <w:rPr>
          <w:rFonts w:hint="eastAsia" w:ascii="仿宋_GB2312" w:eastAsia="仿宋_GB2312"/>
          <w:b w:val="0"/>
          <w:sz w:val="32"/>
          <w:szCs w:val="32"/>
        </w:rPr>
        <w:t>本着节俭高效的原则，进一步加强公务用车管理，减少费用支出</w:t>
      </w:r>
      <w:r>
        <w:rPr>
          <w:rFonts w:ascii="仿宋_GB2312" w:eastAsia="仿宋_GB2312"/>
          <w:b w:val="0"/>
          <w:sz w:val="32"/>
          <w:szCs w:val="32"/>
        </w:rPr>
        <w:t>。其中：因公出国（境）费全年预算数0.00万元，决算数0.00万元，预决算差异率0.00%，主要原因是：</w:t>
      </w:r>
      <w:r>
        <w:rPr>
          <w:rFonts w:hint="eastAsia" w:ascii="仿宋_GB2312" w:eastAsia="仿宋_GB2312"/>
          <w:b w:val="0"/>
          <w:sz w:val="32"/>
          <w:szCs w:val="32"/>
        </w:rPr>
        <w:t>我单位无因公出国（境）费</w:t>
      </w:r>
      <w:r>
        <w:rPr>
          <w:rFonts w:ascii="仿宋_GB2312" w:eastAsia="仿宋_GB2312"/>
          <w:b w:val="0"/>
          <w:sz w:val="32"/>
          <w:szCs w:val="32"/>
        </w:rPr>
        <w:t>；公务用车购置费全年预算数0.00万元，决算数0.00万元，预决算差异率0.00%，主要原因是：</w:t>
      </w:r>
      <w:r>
        <w:rPr>
          <w:rFonts w:hint="eastAsia" w:ascii="仿宋_GB2312" w:eastAsia="仿宋_GB2312"/>
          <w:b w:val="0"/>
          <w:sz w:val="32"/>
          <w:szCs w:val="32"/>
        </w:rPr>
        <w:t>我单位无</w:t>
      </w:r>
      <w:r>
        <w:rPr>
          <w:rFonts w:ascii="仿宋_GB2312" w:eastAsia="仿宋_GB2312"/>
          <w:b w:val="0"/>
          <w:sz w:val="32"/>
          <w:szCs w:val="32"/>
        </w:rPr>
        <w:t>公务用车购置费；公务用车运行维护费全年预算数4.91万元，决算数0.60万元，预决算差异率-87.78%，主要原因是：</w:t>
      </w:r>
      <w:r>
        <w:rPr>
          <w:rFonts w:hint="eastAsia" w:ascii="仿宋_GB2312" w:eastAsia="仿宋_GB2312"/>
          <w:b w:val="0"/>
          <w:sz w:val="32"/>
          <w:szCs w:val="32"/>
          <w:lang w:val="en-US" w:eastAsia="zh-CN"/>
        </w:rPr>
        <w:t>我单位2024年</w:t>
      </w:r>
      <w:r>
        <w:rPr>
          <w:rFonts w:hint="eastAsia" w:ascii="仿宋_GB2312" w:eastAsia="仿宋_GB2312"/>
          <w:b w:val="0"/>
          <w:sz w:val="32"/>
          <w:szCs w:val="32"/>
        </w:rPr>
        <w:t>本着节俭高效的原则，进一步加强公务用车管理，减少费用支出</w:t>
      </w:r>
      <w:r>
        <w:rPr>
          <w:rFonts w:ascii="仿宋_GB2312" w:eastAsia="仿宋_GB2312"/>
          <w:b w:val="0"/>
          <w:sz w:val="32"/>
          <w:szCs w:val="32"/>
        </w:rPr>
        <w:t>；公务接待费全年预算数0.00万元，决算数0.00万元，预决算差异率0.00%，主要原因是：</w:t>
      </w:r>
      <w:r>
        <w:rPr>
          <w:rFonts w:hint="eastAsia" w:ascii="仿宋_GB2312" w:eastAsia="仿宋_GB2312"/>
          <w:b w:val="0"/>
          <w:sz w:val="32"/>
          <w:szCs w:val="32"/>
        </w:rPr>
        <w:t>我单位无</w:t>
      </w:r>
      <w:r>
        <w:rPr>
          <w:rFonts w:ascii="仿宋_GB2312" w:eastAsia="仿宋_GB2312"/>
          <w:b w:val="0"/>
          <w:sz w:val="32"/>
          <w:szCs w:val="32"/>
        </w:rPr>
        <w:t>公务接待费。</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十、其他重要事项的情况说明</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（一）机关运行经费及公用经费支出情况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2024年度乌鲁木齐市第六幼儿园（事业单位）公用经费支出52.28万元，比上年减少3.62万元，下降6.48%，主要原因是：</w:t>
      </w:r>
      <w:r>
        <w:rPr>
          <w:rFonts w:hint="eastAsia" w:ascii="仿宋_GB2312" w:eastAsia="仿宋_GB2312"/>
          <w:b w:val="0"/>
          <w:sz w:val="32"/>
          <w:szCs w:val="32"/>
          <w:lang w:val="en-US" w:eastAsia="zh-CN"/>
        </w:rPr>
        <w:t>我单位2024年</w:t>
      </w:r>
      <w:r>
        <w:rPr>
          <w:rFonts w:hint="eastAsia" w:ascii="仿宋_GB2312" w:eastAsia="仿宋_GB2312"/>
          <w:b w:val="0"/>
          <w:sz w:val="32"/>
          <w:szCs w:val="32"/>
        </w:rPr>
        <w:t>本着节俭高效的原则</w:t>
      </w:r>
      <w:r>
        <w:rPr>
          <w:rFonts w:hint="eastAsia" w:ascii="仿宋_GB2312" w:eastAsia="仿宋_GB2312"/>
          <w:b w:val="0"/>
          <w:sz w:val="32"/>
          <w:szCs w:val="32"/>
          <w:lang w:eastAsia="zh-CN"/>
        </w:rPr>
        <w:t>，</w:t>
      </w:r>
      <w:r>
        <w:rPr>
          <w:rFonts w:hint="eastAsia" w:ascii="仿宋_GB2312" w:eastAsia="仿宋_GB2312"/>
          <w:b w:val="0"/>
          <w:sz w:val="32"/>
          <w:szCs w:val="32"/>
          <w:lang w:val="en-US" w:eastAsia="zh-CN"/>
        </w:rPr>
        <w:t>减少公用经费支出</w:t>
      </w:r>
      <w:r>
        <w:rPr>
          <w:rFonts w:ascii="仿宋_GB2312" w:eastAsia="仿宋_GB2312"/>
          <w:b w:val="0"/>
          <w:sz w:val="32"/>
          <w:szCs w:val="32"/>
        </w:rPr>
        <w:t>。</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（二）政府采购情况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2024年度政府采购支出总额67.15万元，其中：政府采购货物支出0.00万元、政府采购工程支出0.00万元、政府采购服务支出67.15万元。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授予中小企业合同金额67.15万元，占政府采购支出总额的100.00%，其中：授予小微企业合同金额67.15万元，占政府采购支出总额的100.00%。</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（三）国有资产占用情况说明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截至2024年12月31日，房屋3,498.35平方米，价值457.28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eastAsia="仿宋_GB2312"/>
          <w:b w:val="0"/>
          <w:sz w:val="32"/>
          <w:szCs w:val="32"/>
        </w:rPr>
        <w:t>我单位无其他用车</w:t>
      </w:r>
      <w:r>
        <w:rPr>
          <w:rFonts w:ascii="仿宋_GB2312" w:eastAsia="仿宋_GB2312"/>
          <w:b w:val="0"/>
          <w:sz w:val="32"/>
          <w:szCs w:val="32"/>
        </w:rPr>
        <w:t>;单价100万元（含）以上设备（不含车辆）0台（套）。</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十一、预算绩效的情况说明</w:t>
      </w:r>
    </w:p>
    <w:p>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r>
        <w:rPr>
          <w:rFonts w:ascii="仿宋_GB2312" w:eastAsia="仿宋_GB2312"/>
          <w:b w:val="0"/>
          <w:sz w:val="32"/>
          <w:szCs w:val="32"/>
        </w:rPr>
        <w:t>根据预算绩效管理要求，本单位2024年度预算绩效管理形成整体支出绩效自评表1个，全年预算总额</w:t>
      </w:r>
      <w:r>
        <w:rPr>
          <w:rFonts w:hint="eastAsia" w:ascii="仿宋_GB2312" w:eastAsia="仿宋_GB2312"/>
          <w:b w:val="0"/>
          <w:sz w:val="32"/>
          <w:szCs w:val="32"/>
          <w:lang w:val="en-US" w:eastAsia="zh-CN"/>
        </w:rPr>
        <w:t>865.73</w:t>
      </w:r>
      <w:r>
        <w:rPr>
          <w:rFonts w:ascii="仿宋_GB2312" w:eastAsia="仿宋_GB2312"/>
          <w:b w:val="0"/>
          <w:sz w:val="32"/>
          <w:szCs w:val="32"/>
        </w:rPr>
        <w:t>万元，实际执行总额</w:t>
      </w:r>
      <w:r>
        <w:rPr>
          <w:rFonts w:hint="eastAsia" w:ascii="仿宋_GB2312" w:eastAsia="仿宋_GB2312"/>
          <w:b w:val="0"/>
          <w:sz w:val="32"/>
          <w:szCs w:val="32"/>
          <w:lang w:val="en-US" w:eastAsia="zh-CN"/>
        </w:rPr>
        <w:t>865.73</w:t>
      </w:r>
      <w:r>
        <w:rPr>
          <w:rFonts w:ascii="仿宋_GB2312" w:eastAsia="仿宋_GB2312"/>
          <w:b w:val="0"/>
          <w:sz w:val="32"/>
          <w:szCs w:val="32"/>
        </w:rPr>
        <w:t>万元；预算绩效评价项目</w:t>
      </w:r>
      <w:r>
        <w:rPr>
          <w:rFonts w:hint="eastAsia" w:ascii="仿宋_GB2312" w:eastAsia="仿宋_GB2312"/>
          <w:b w:val="0"/>
          <w:sz w:val="32"/>
          <w:szCs w:val="32"/>
          <w:lang w:val="en-US" w:eastAsia="zh-CN"/>
        </w:rPr>
        <w:t>2</w:t>
      </w:r>
      <w:r>
        <w:rPr>
          <w:rFonts w:ascii="仿宋_GB2312" w:eastAsia="仿宋_GB2312"/>
          <w:b w:val="0"/>
          <w:sz w:val="32"/>
          <w:szCs w:val="32"/>
        </w:rPr>
        <w:t>个，全年预算数</w:t>
      </w:r>
      <w:r>
        <w:rPr>
          <w:rFonts w:hint="eastAsia" w:ascii="仿宋_GB2312" w:eastAsia="仿宋_GB2312"/>
          <w:b w:val="0"/>
          <w:sz w:val="32"/>
          <w:szCs w:val="32"/>
          <w:lang w:val="en-US" w:eastAsia="zh-CN"/>
        </w:rPr>
        <w:t>18.73</w:t>
      </w:r>
      <w:r>
        <w:rPr>
          <w:rFonts w:ascii="仿宋_GB2312" w:eastAsia="仿宋_GB2312"/>
          <w:b w:val="0"/>
          <w:sz w:val="32"/>
          <w:szCs w:val="32"/>
        </w:rPr>
        <w:t>万元，全年执行数</w:t>
      </w:r>
      <w:r>
        <w:rPr>
          <w:rFonts w:hint="eastAsia" w:ascii="仿宋_GB2312" w:eastAsia="仿宋_GB2312"/>
          <w:b w:val="0"/>
          <w:sz w:val="32"/>
          <w:szCs w:val="32"/>
          <w:lang w:val="en-US" w:eastAsia="zh-CN"/>
        </w:rPr>
        <w:t>18.73</w:t>
      </w:r>
      <w:r>
        <w:rPr>
          <w:rFonts w:ascii="仿宋_GB2312" w:eastAsia="仿宋_GB2312"/>
          <w:b w:val="0"/>
          <w:sz w:val="32"/>
          <w:szCs w:val="32"/>
        </w:rPr>
        <w:t>万元。</w:t>
      </w:r>
      <w:r>
        <w:rPr>
          <w:rFonts w:hint="eastAsia" w:ascii="仿宋_GB2312" w:eastAsia="仿宋_GB2312"/>
          <w:b w:val="0"/>
          <w:sz w:val="32"/>
          <w:szCs w:val="32"/>
        </w:rPr>
        <w:t>预算绩效管理取得的成效：一是建立了“事前有目标、事中有监控、事后有评价、结果有应用、应用有反馈”的常态化预算绩效管理体系对项目的实施进程有了监控和了解；二是财政资金使用效率明显增强。发现的问题及原因：一是绩效管理的广度和深度不足；二是专业人员队伍力量配备不足。下一步改进措施：一是以完</w:t>
      </w:r>
      <w:bookmarkStart w:id="0" w:name="_GoBack"/>
      <w:bookmarkEnd w:id="0"/>
      <w:r>
        <w:rPr>
          <w:rFonts w:hint="eastAsia" w:ascii="仿宋_GB2312" w:eastAsia="仿宋_GB2312"/>
          <w:b w:val="0"/>
          <w:sz w:val="32"/>
          <w:szCs w:val="32"/>
        </w:rPr>
        <w:t>善工作措施为着力点，不断提高预算绩效管理水平；二是化绩效管理专业队伍建设，健全部门绩效管理机构，配优配强预算绩效管理人员队伍，加强业务培训，提高业务水平</w:t>
      </w:r>
      <w:r>
        <w:rPr>
          <w:rFonts w:ascii="仿宋_GB2312" w:eastAsia="仿宋_GB2312"/>
          <w:b w:val="0"/>
          <w:sz w:val="32"/>
          <w:szCs w:val="32"/>
        </w:rPr>
        <w:t>。具体附部门整体支出绩效自评表，项目支出绩效自评表和部门评价报告。</w:t>
      </w:r>
    </w:p>
    <w:p>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p>
    <w:tbl>
      <w:tblPr>
        <w:tblStyle w:val="3"/>
        <w:tblW w:w="86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8"/>
        <w:gridCol w:w="853"/>
        <w:gridCol w:w="909"/>
        <w:gridCol w:w="1057"/>
        <w:gridCol w:w="1281"/>
        <w:gridCol w:w="445"/>
        <w:gridCol w:w="1679"/>
        <w:gridCol w:w="649"/>
        <w:gridCol w:w="9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23" w:hRule="atLeast"/>
        </w:trPr>
        <w:tc>
          <w:tcPr>
            <w:tcW w:w="8670"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部门（单位）整体支出绩效目标自评表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8670"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260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部门（单位）名称</w:t>
            </w:r>
          </w:p>
        </w:tc>
        <w:tc>
          <w:tcPr>
            <w:tcW w:w="6070"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乌鲁木齐市第六幼儿园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1691" w:type="dxa"/>
            <w:gridSpan w:val="2"/>
            <w:vMerge w:val="restart"/>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年度预算（万元）</w:t>
            </w:r>
          </w:p>
        </w:tc>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资金来源</w:t>
            </w:r>
          </w:p>
        </w:tc>
        <w:tc>
          <w:tcPr>
            <w:tcW w:w="17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年初预算数（万元）</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预算数（调整后）</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执行数</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1691"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财政资金（万元）</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上级资金：</w:t>
            </w:r>
          </w:p>
        </w:tc>
        <w:tc>
          <w:tcPr>
            <w:tcW w:w="17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108.53</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24.43</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24.43</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1691"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本级资金：</w:t>
            </w:r>
          </w:p>
        </w:tc>
        <w:tc>
          <w:tcPr>
            <w:tcW w:w="17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1043.02</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841.3</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841.3</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1691"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其他资金：</w:t>
            </w:r>
          </w:p>
        </w:tc>
        <w:tc>
          <w:tcPr>
            <w:tcW w:w="17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1691" w:type="dxa"/>
            <w:gridSpan w:val="2"/>
            <w:vMerge w:val="continue"/>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7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1151.55</w:t>
            </w:r>
          </w:p>
        </w:tc>
        <w:tc>
          <w:tcPr>
            <w:tcW w:w="16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865.73</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865.73</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年度总体目标</w:t>
            </w:r>
          </w:p>
        </w:tc>
        <w:tc>
          <w:tcPr>
            <w:tcW w:w="4100" w:type="dxa"/>
            <w:gridSpan w:val="4"/>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预期目标</w:t>
            </w:r>
          </w:p>
        </w:tc>
        <w:tc>
          <w:tcPr>
            <w:tcW w:w="37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380" w:hRule="atLeast"/>
        </w:trPr>
        <w:tc>
          <w:tcPr>
            <w:tcW w:w="83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4100" w:type="dxa"/>
            <w:gridSpan w:val="4"/>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以习近平新时代中国特色社会主义思想为指导，党的二十大习近平总书记的重要讲话精神为方向。经新冠疫情后的校园工作调整，需要增进我园文化建设、党工团、教学活动等内容。队伍建设加强托管工作；教育教学工作提高环境创设、教职工线上线下培训、县域督导评估工作；安全工作加强安全演练；卫生保健工作加强食品安全检查。满足周边幼儿的入托问题。提高教师和家长的满意度。</w:t>
            </w:r>
          </w:p>
        </w:tc>
        <w:tc>
          <w:tcPr>
            <w:tcW w:w="3732" w:type="dxa"/>
            <w:gridSpan w:val="4"/>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一是：完成托管单位管理2家，了解45、46幼儿园整体情况，提高了负责人的管理和处理事务的能力。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二是：圆满完成了示范园验收工作1次，强化师资教育，促进幼儿教育均衡发展，做到我园标准化，规范化、科学化建设，有效提高保教质量。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三是：完成了环境创设工作，结合“乐分享，悦行动”文化建设理念，优化课程内容体系，提升课程实施能力。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四是：完成教职工线上线下培训工作，提升教职工专业能力，依据区教育局“教师队伍建设工程”，全面提升不同层级教师专业能力。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五是：完成县域督导评估工作，丰富幼儿课程活动的内容，积极开展户外活动，扎实足球特色、自主游戏、创造性游戏及社团活动等活动，体现“乐悦”校园文化理念，促进幼儿健康成长。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六是：完成安全演练工作，定期开展安全防护的基本知识和技能，每年组织不少于8次教职工安全防护演练，资料齐全；每学期教学活动包含安全教育及培养幼儿自我保护的教学活动内容不少于2次，并在一日活动中能体现幼儿遵守安全规则的内容。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七是：完成食品安全检查工作，每周最少一次实地查看食堂工作，每两周开展一次食堂管理人员、从业人员培训，每月梳理一次食品安全工作报告组织月调度会议。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八是：周边幼儿入托，对周边幼儿实施应入尽入原则，解决家长的后顾之忧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0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指标设定依据</w:t>
            </w:r>
          </w:p>
        </w:tc>
        <w:tc>
          <w:tcPr>
            <w:tcW w:w="4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权重</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运行成本</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管理效率</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托管单位管理</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=2家</w:t>
            </w: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2024年园务工作计划</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2家</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履职效能</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示范园验收工作完成率</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2024年园务工作计划</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环境创设工作完成率</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2024年园务工作计划</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教职工线上线下培训工作完成率</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2024年园务工作计划</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县域督导评估工作完成率</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2024年园务工作计划</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安全演练工作完成率</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2024年园务工作计划</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食品安全检查工作完成率</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2024年园务工作计划</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周边幼儿入托率</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2024年园务工作计划</w:t>
            </w: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可持续发展能力</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r>
    </w:tbl>
    <w:p>
      <w:pPr>
        <w:widowControl/>
        <w:spacing w:before="0" w:beforeLines="0" w:beforeAutospacing="0" w:after="0" w:afterLines="0" w:afterAutospacing="0" w:line="240" w:lineRule="auto"/>
        <w:ind w:firstLine="640" w:firstLineChars="200"/>
        <w:jc w:val="both"/>
        <w:rPr>
          <w:rFonts w:ascii="仿宋_GB2312" w:eastAsia="仿宋_GB2312"/>
          <w:b w:val="0"/>
          <w:sz w:val="32"/>
          <w:szCs w:val="32"/>
        </w:rPr>
      </w:pPr>
    </w:p>
    <w:tbl>
      <w:tblPr>
        <w:tblStyle w:val="3"/>
        <w:tblW w:w="86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23"/>
        <w:gridCol w:w="530"/>
        <w:gridCol w:w="1175"/>
        <w:gridCol w:w="241"/>
        <w:gridCol w:w="1051"/>
        <w:gridCol w:w="943"/>
        <w:gridCol w:w="1014"/>
        <w:gridCol w:w="1022"/>
        <w:gridCol w:w="104"/>
        <w:gridCol w:w="255"/>
        <w:gridCol w:w="212"/>
        <w:gridCol w:w="482"/>
        <w:gridCol w:w="409"/>
        <w:gridCol w:w="8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5" w:hRule="atLeast"/>
        </w:trPr>
        <w:tc>
          <w:tcPr>
            <w:tcW w:w="867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7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717"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上级乌财科教【2023】162号关于提前下达2024年中央财政支持学前教育发展资金预算的通知-943万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9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4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乌鲁木齐经济技术开发区（乌鲁木齐市头屯河区）教育局</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29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乌鲁木齐市第六幼儿园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9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4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1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9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9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95.00</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w:t>
            </w:r>
          </w:p>
        </w:tc>
        <w:tc>
          <w:tcPr>
            <w:tcW w:w="11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5.20</w:t>
            </w:r>
          </w:p>
        </w:tc>
        <w:tc>
          <w:tcPr>
            <w:tcW w:w="4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9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9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5.20</w:t>
            </w:r>
          </w:p>
        </w:tc>
        <w:tc>
          <w:tcPr>
            <w:tcW w:w="11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w:t>
            </w:r>
          </w:p>
        </w:tc>
        <w:tc>
          <w:tcPr>
            <w:tcW w:w="4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9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9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1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4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95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29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5" w:hRule="atLeast"/>
        </w:trPr>
        <w:tc>
          <w:tcPr>
            <w:tcW w:w="4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5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项目资金5.2万元，用于维修46幼顶楼会议室、幼儿活动室、班级楼道屋顶防水层多处出现的房屋严重漏水现象及卫生间防水层出现开裂情况，消除安全隐患，保证幼儿园的安全及工作正常运行</w:t>
            </w:r>
          </w:p>
        </w:tc>
        <w:tc>
          <w:tcPr>
            <w:tcW w:w="329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已完成顶楼会议室、幼儿活动室、班级楼道屋顶防水层多处出现房屋严重漏水现象的防水改造工程，幼儿园安全得到了保障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4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23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0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69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2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trPr>
        <w:tc>
          <w:tcPr>
            <w:tcW w:w="4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维修改造工程数</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=3个</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=3个</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维修改造工程质量保障率</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5" w:hRule="atLeast"/>
        </w:trPr>
        <w:tc>
          <w:tcPr>
            <w:tcW w:w="4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维修改造完成时间</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2024年12月</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=2024年12月</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5" w:hRule="atLeast"/>
        </w:trPr>
        <w:tc>
          <w:tcPr>
            <w:tcW w:w="4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维修改造工程完成及时率</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4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维修改造成本</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&lt;=5.20万元</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=5.2万元</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4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提升教育教学水平</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有效提升</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6" w:hRule="atLeast"/>
        </w:trPr>
        <w:tc>
          <w:tcPr>
            <w:tcW w:w="4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2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教师满意度</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 w:hRule="atLeast"/>
        </w:trPr>
        <w:tc>
          <w:tcPr>
            <w:tcW w:w="4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1"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51"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43"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4"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2"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8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63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2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bl>
    <w:p>
      <w:pPr>
        <w:widowControl/>
        <w:spacing w:before="0" w:beforeLines="0" w:beforeAutospacing="0" w:after="0" w:afterLines="0" w:afterAutospacing="0" w:line="240" w:lineRule="auto"/>
        <w:jc w:val="both"/>
        <w:rPr>
          <w:rFonts w:ascii="仿宋_GB2312" w:eastAsia="仿宋_GB2312"/>
          <w:b w:val="0"/>
          <w:sz w:val="32"/>
          <w:szCs w:val="32"/>
        </w:rPr>
      </w:pPr>
    </w:p>
    <w:p>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pPr>
        <w:widowControl/>
        <w:spacing w:before="0" w:beforeLines="0" w:beforeAutospacing="0" w:after="0" w:afterLines="0" w:afterAutospacing="0" w:line="240" w:lineRule="auto"/>
        <w:jc w:val="left"/>
        <w:outlineLvl w:val="1"/>
        <w:rPr>
          <w:rFonts w:ascii="黑体" w:eastAsia="黑体"/>
          <w:b w:val="0"/>
          <w:sz w:val="32"/>
          <w:szCs w:val="32"/>
        </w:rPr>
      </w:pPr>
    </w:p>
    <w:tbl>
      <w:tblPr>
        <w:tblStyle w:val="3"/>
        <w:tblW w:w="86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25"/>
        <w:gridCol w:w="538"/>
        <w:gridCol w:w="1081"/>
        <w:gridCol w:w="238"/>
        <w:gridCol w:w="1129"/>
        <w:gridCol w:w="958"/>
        <w:gridCol w:w="1112"/>
        <w:gridCol w:w="1002"/>
        <w:gridCol w:w="108"/>
        <w:gridCol w:w="259"/>
        <w:gridCol w:w="217"/>
        <w:gridCol w:w="492"/>
        <w:gridCol w:w="416"/>
        <w:gridCol w:w="7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5" w:hRule="atLeast"/>
        </w:trPr>
        <w:tc>
          <w:tcPr>
            <w:tcW w:w="867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867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8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807"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上级乌财科教【2023】170号关于提前下达2024年自治区教育项目经费预算的通知—聘用教师319万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8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340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乌鲁木齐经济技术开发区（乌鲁木齐市头屯河区）教育局</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328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乌鲁木齐市第六幼儿园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8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4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8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13.53</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13.53</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13.53</w:t>
            </w:r>
          </w:p>
        </w:tc>
        <w:tc>
          <w:tcPr>
            <w:tcW w:w="4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8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13.53</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13.53</w:t>
            </w: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13.53</w:t>
            </w:r>
          </w:p>
        </w:tc>
        <w:tc>
          <w:tcPr>
            <w:tcW w:w="4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8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4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3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505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328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30" w:hRule="atLeast"/>
        </w:trPr>
        <w:tc>
          <w:tcPr>
            <w:tcW w:w="3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05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以习近平新时代中国特色社会主义思想为指导，党的二十大习近平总书记的重要讲话精神为方向。经新冠疫情后的校园工作调整，需要增进我园文化建设、党工团、教学活动等内容。该笔资金主要用于幼儿园聘用教师工资待遇的发放，有效保障了幼儿园聘用教师薪资待遇水平，聘用教师管理由幼儿园保教室统一管理，聘用教师按照教师职责进行工作，保教室对教师进行业绩考核。人事部门按照考核计算每月出勤，财务人员按照工资审批单进行发放工资。提高教师待遇，保证教师工资的发放率和及时率，保证教师的合法权益，提高教师的获得感和满意度。</w:t>
            </w:r>
          </w:p>
        </w:tc>
        <w:tc>
          <w:tcPr>
            <w:tcW w:w="328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本项目根据上级乌财科教【2023】106号-关于拨付2023年中小学和幼儿园自聘教师补助资金的通知立项，旨在有效提高我园2023年度自聘教师25人自聘教师工资，稳定教师队伍，提升教育教学水平。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3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32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3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7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2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trPr>
        <w:tc>
          <w:tcPr>
            <w:tcW w:w="3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55" w:hRule="atLeast"/>
        </w:trPr>
        <w:tc>
          <w:tcPr>
            <w:tcW w:w="3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5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配备人数</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=21人</w:t>
            </w: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=21人</w:t>
            </w:r>
          </w:p>
        </w:tc>
        <w:tc>
          <w:tcPr>
            <w:tcW w:w="3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3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聘用教师出勤率</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0" w:hRule="atLeast"/>
        </w:trPr>
        <w:tc>
          <w:tcPr>
            <w:tcW w:w="3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聘用教师费用支付及时率</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3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5" w:hRule="atLeast"/>
        </w:trPr>
        <w:tc>
          <w:tcPr>
            <w:tcW w:w="3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聘用教师工作职责完成率</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&gt;=80%</w:t>
            </w: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3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02" w:hRule="atLeast"/>
        </w:trPr>
        <w:tc>
          <w:tcPr>
            <w:tcW w:w="3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聘用教师补助资金</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&lt;=13.53万元</w:t>
            </w: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=13.53万元</w:t>
            </w:r>
          </w:p>
        </w:tc>
        <w:tc>
          <w:tcPr>
            <w:tcW w:w="3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3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聘用教师获得感</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有效提高</w:t>
            </w: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有效提高</w:t>
            </w:r>
          </w:p>
        </w:tc>
        <w:tc>
          <w:tcPr>
            <w:tcW w:w="3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3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聘用教师满意度</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3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 w:hRule="atLeast"/>
        </w:trPr>
        <w:tc>
          <w:tcPr>
            <w:tcW w:w="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8"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29"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58"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9" w:hRule="atLeast"/>
        </w:trPr>
        <w:tc>
          <w:tcPr>
            <w:tcW w:w="638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3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100.00分</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bl>
    <w:p>
      <w:pPr>
        <w:widowControl/>
        <w:spacing w:before="0" w:beforeLines="0" w:beforeAutospacing="0" w:after="0" w:afterLines="0" w:afterAutospacing="0" w:line="240" w:lineRule="auto"/>
        <w:jc w:val="left"/>
        <w:outlineLvl w:val="1"/>
        <w:rPr>
          <w:rFonts w:ascii="黑体" w:eastAsia="黑体"/>
          <w:b w:val="0"/>
          <w:sz w:val="32"/>
          <w:szCs w:val="32"/>
        </w:rPr>
      </w:pP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十二、其他需说明的事项</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本单位无其他需说明事项。</w:t>
      </w:r>
    </w:p>
    <w:p>
      <w:pPr>
        <w:widowControl/>
      </w:pPr>
      <w:r>
        <w:rPr>
          <w:b w:val="0"/>
          <w:sz w:val="0"/>
          <w:szCs w:val="0"/>
        </w:rP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第三部分 专业名词解释</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指同级财政当年拨付的资金。</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指事业单位开展专业业务活动及其辅助活动所取得的收入。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指事业单位附属的独立核算单位按有关规定上缴的收入。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指除上述“财政拨款收入”、“事业收入”、“经营收入”、“附属单位上缴收入”等之外取得的收入。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八、年末结转和结余：</w:t>
      </w:r>
      <w:r>
        <w:rPr>
          <w:rFonts w:ascii="仿宋_GB2312" w:eastAsia="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九、基本支出：</w:t>
      </w:r>
      <w:r>
        <w:rPr>
          <w:rFonts w:ascii="仿宋_GB2312" w:eastAsia="仿宋_GB2312"/>
          <w:b w:val="0"/>
          <w:sz w:val="32"/>
          <w:szCs w:val="32"/>
        </w:rPr>
        <w:t>指为保障机构正常运转、完成日常工作任务而发生的人员支出和公用支出。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十、项目支出：</w:t>
      </w:r>
      <w:r>
        <w:rPr>
          <w:rFonts w:ascii="仿宋_GB2312" w:eastAsia="仿宋_GB2312"/>
          <w:b w:val="0"/>
          <w:sz w:val="32"/>
          <w:szCs w:val="32"/>
        </w:rPr>
        <w:t>指在基本支出之外为完成特定行政任务和事业发展目标所发生的支出。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十一、经营支出：</w:t>
      </w:r>
      <w:r>
        <w:rPr>
          <w:rFonts w:ascii="仿宋_GB2312" w:eastAsia="仿宋_GB2312"/>
          <w:b w:val="0"/>
          <w:sz w:val="32"/>
          <w:szCs w:val="32"/>
        </w:rPr>
        <w:t>指事业单位在专业业务活动及其辅助活动之外开展非独立核算经营活动发生的支出。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十二、对附属单位补助支出：</w:t>
      </w:r>
      <w:r>
        <w:rPr>
          <w:rFonts w:ascii="仿宋_GB2312" w:eastAsia="仿宋_GB2312"/>
          <w:b w:val="0"/>
          <w:sz w:val="32"/>
          <w:szCs w:val="32"/>
        </w:rPr>
        <w:t>指事业单位发生的用非财政预算资金对附属单位的补助支出。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十三、“三公”经费：</w:t>
      </w:r>
      <w:r>
        <w:rPr>
          <w:rFonts w:ascii="仿宋_GB2312" w:eastAsia="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十四、机关运行经费：</w:t>
      </w:r>
      <w:r>
        <w:rPr>
          <w:rFonts w:ascii="仿宋_GB2312" w:eastAsia="仿宋_GB2312"/>
          <w:b w:val="0"/>
          <w:sz w:val="32"/>
          <w:szCs w:val="32"/>
        </w:rPr>
        <w:t>行政单位和参照公务员法管理的事业单位财政拨款基本支出中的公用经费支出。</w:t>
      </w:r>
    </w:p>
    <w:p>
      <w:pPr>
        <w:widowControl/>
      </w:pPr>
      <w:r>
        <w:rPr>
          <w:b w:val="0"/>
          <w:sz w:val="0"/>
          <w:szCs w:val="0"/>
        </w:rP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第四部分 部门决算报表（见附表）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一、《收入支出决算总表》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二、《收入决算表》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三、《支出决算表》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四、《财政拨款收入支出决算总表》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五、《一般公共预算财政拨款支出决算表》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六、《一般公共预算财政拨款基本支出决算表》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七、《政府性基金预算财政拨款收入支出决算表》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9C257"/>
    <w:multiLevelType w:val="singleLevel"/>
    <w:tmpl w:val="40F9C257"/>
    <w:lvl w:ilvl="0" w:tentative="0">
      <w:start w:val="1"/>
      <w:numFmt w:val="chineseCounting"/>
      <w:suff w:val="nothing"/>
      <w:lvlText w:val="%1、"/>
      <w:lvlJc w:val="left"/>
      <w:pPr>
        <w:ind w:left="712"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3579D"/>
    <w:rsid w:val="07522240"/>
    <w:rsid w:val="0BBD4FE2"/>
    <w:rsid w:val="14B00516"/>
    <w:rsid w:val="15031371"/>
    <w:rsid w:val="35410ED6"/>
    <w:rsid w:val="415C3B37"/>
    <w:rsid w:val="458304AC"/>
    <w:rsid w:val="4E0C6903"/>
    <w:rsid w:val="4F9232E8"/>
    <w:rsid w:val="50C863D6"/>
    <w:rsid w:val="560756AB"/>
    <w:rsid w:val="56DF03AB"/>
    <w:rsid w:val="6D1E01B6"/>
    <w:rsid w:val="6F210945"/>
    <w:rsid w:val="6F790053"/>
    <w:rsid w:val="7158175A"/>
    <w:rsid w:val="719A5898"/>
    <w:rsid w:val="76076349"/>
    <w:rsid w:val="77BA36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TotalTime>2</TotalTime>
  <ScaleCrop>false</ScaleCrop>
  <LinksUpToDate>false</LinksUpToDate>
  <Application>WPS Office_11.8.2.8696_F1E327BC-269C-435d-A152-05C5408002CA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2025-10-14T03:23:00Z</dcterms:created>
  <dc:creator>Administrator</dc:creator>
  <cp:lastModifiedBy>Administrator</cp:lastModifiedBy>
  <dcterms:modified xsi:type="dcterms:W3CDTF">2025-10-16T04:37:25Z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1A37F948C5CC4834A1FF932A8F8A2BAB_12</vt:lpwstr>
  </property>
</Properties>
</file>