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70F79F">
      <w:pPr>
        <w:rPr>
          <w:rFonts w:ascii="黑体" w:hAnsi="黑体" w:eastAsia="黑体"/>
          <w:sz w:val="32"/>
          <w:szCs w:val="32"/>
        </w:rPr>
      </w:pPr>
    </w:p>
    <w:p w14:paraId="609914E3">
      <w:pPr>
        <w:jc w:val="center"/>
        <w:rPr>
          <w:rFonts w:ascii="方正小标宋_GBK" w:hAnsi="宋体" w:eastAsia="方正小标宋_GBK"/>
          <w:sz w:val="44"/>
          <w:szCs w:val="44"/>
        </w:rPr>
      </w:pPr>
    </w:p>
    <w:p w14:paraId="12F9536A">
      <w:pPr>
        <w:jc w:val="center"/>
        <w:rPr>
          <w:rFonts w:ascii="方正小标宋_GBK" w:hAnsi="宋体" w:eastAsia="方正小标宋_GBK"/>
          <w:sz w:val="44"/>
          <w:szCs w:val="44"/>
        </w:rPr>
      </w:pPr>
    </w:p>
    <w:p w14:paraId="65F8B410">
      <w:pPr>
        <w:jc w:val="center"/>
        <w:rPr>
          <w:rFonts w:ascii="方正小标宋_GBK" w:hAnsi="宋体" w:eastAsia="方正小标宋_GBK"/>
          <w:sz w:val="44"/>
          <w:szCs w:val="44"/>
        </w:rPr>
      </w:pPr>
    </w:p>
    <w:p w14:paraId="58BC3FF1">
      <w:pPr>
        <w:jc w:val="center"/>
        <w:rPr>
          <w:rFonts w:ascii="方正小标宋_GBK" w:hAnsi="宋体" w:eastAsia="方正小标宋_GBK"/>
          <w:sz w:val="44"/>
          <w:szCs w:val="44"/>
        </w:rPr>
      </w:pPr>
    </w:p>
    <w:p w14:paraId="0EA25F7B">
      <w:pPr>
        <w:jc w:val="center"/>
        <w:rPr>
          <w:rFonts w:hint="eastAsia" w:ascii="方正小标宋_GBK" w:hAnsi="宋体" w:eastAsia="方正小标宋_GBK"/>
          <w:sz w:val="44"/>
          <w:szCs w:val="44"/>
          <w:lang w:eastAsia="zh-CN"/>
        </w:rPr>
      </w:pPr>
      <w:r>
        <w:rPr>
          <w:rFonts w:hint="eastAsia" w:ascii="方正小标宋_GBK" w:hAnsi="宋体" w:eastAsia="方正小标宋_GBK"/>
          <w:sz w:val="44"/>
          <w:szCs w:val="44"/>
          <w:lang w:eastAsia="zh-CN"/>
        </w:rPr>
        <w:t>乌鲁木齐经济技术开发区（乌鲁木齐市头屯河区）房屋征收与补偿管理办公室</w:t>
      </w:r>
    </w:p>
    <w:p w14:paraId="0362940A">
      <w:pPr>
        <w:jc w:val="center"/>
        <w:rPr>
          <w:rFonts w:hint="eastAsia" w:ascii="方正小标宋_GBK" w:hAnsi="宋体" w:eastAsia="方正小标宋_GBK"/>
          <w:sz w:val="44"/>
          <w:szCs w:val="44"/>
          <w:lang w:eastAsia="zh-CN"/>
        </w:rPr>
      </w:pPr>
      <w:r>
        <w:rPr>
          <w:rFonts w:hint="eastAsia" w:ascii="方正小标宋_GBK" w:hAnsi="宋体" w:eastAsia="方正小标宋_GBK"/>
          <w:sz w:val="44"/>
          <w:szCs w:val="44"/>
          <w:lang w:eastAsia="zh-CN"/>
        </w:rPr>
        <w:t>（土地征收管理办公室）</w:t>
      </w:r>
    </w:p>
    <w:p w14:paraId="73323831">
      <w:pPr>
        <w:jc w:val="center"/>
        <w:rPr>
          <w:rFonts w:ascii="方正小标宋_GBK" w:hAnsi="宋体" w:eastAsia="方正小标宋_GBK"/>
          <w:sz w:val="44"/>
          <w:szCs w:val="44"/>
        </w:rPr>
      </w:pPr>
      <w:r>
        <w:rPr>
          <w:rFonts w:hint="eastAsia" w:ascii="方正小标宋_GBK" w:hAnsi="宋体" w:eastAsia="方正小标宋_GBK"/>
          <w:sz w:val="44"/>
          <w:szCs w:val="44"/>
        </w:rPr>
        <w:t>2024年度部门决算公开说明</w:t>
      </w:r>
    </w:p>
    <w:p w14:paraId="3022E028">
      <w:pPr>
        <w:jc w:val="center"/>
        <w:rPr>
          <w:rFonts w:ascii="仿宋_GB2312" w:hAnsi="仿宋_GB2312" w:eastAsia="仿宋_GB2312" w:cs="仿宋_GB2312"/>
          <w:bCs/>
          <w:kern w:val="0"/>
          <w:sz w:val="32"/>
          <w:szCs w:val="32"/>
        </w:rPr>
      </w:pPr>
      <w:r>
        <w:rPr>
          <w:rFonts w:hint="eastAsia" w:ascii="方正小标宋_GBK" w:hAnsi="宋体" w:eastAsia="方正小标宋_GBK"/>
          <w:sz w:val="44"/>
          <w:szCs w:val="44"/>
        </w:rPr>
        <w:br w:type="page"/>
      </w:r>
      <w:r>
        <w:rPr>
          <w:rFonts w:hint="eastAsia" w:ascii="仿宋_GB2312" w:hAnsi="仿宋_GB2312" w:eastAsia="仿宋_GB2312" w:cs="仿宋_GB2312"/>
          <w:b/>
          <w:kern w:val="0"/>
          <w:sz w:val="36"/>
          <w:szCs w:val="36"/>
        </w:rPr>
        <w:t>目  录</w:t>
      </w:r>
    </w:p>
    <w:p w14:paraId="773FF84F">
      <w:pPr>
        <w:pStyle w:val="7"/>
        <w:tabs>
          <w:tab w:val="right" w:leader="dot" w:pos="8306"/>
        </w:tabs>
        <w:rPr>
          <w:rFonts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TOC \o "1-3" \n  \h \u </w:instrText>
      </w:r>
      <w:r>
        <w:rPr>
          <w:rFonts w:hint="eastAsia" w:ascii="仿宋_GB2312" w:hAnsi="仿宋_GB2312" w:eastAsia="仿宋_GB2312" w:cs="仿宋_GB2312"/>
          <w:sz w:val="32"/>
          <w:szCs w:val="32"/>
        </w:rPr>
        <w:fldChar w:fldCharType="separate"/>
      </w:r>
      <w:r>
        <w:fldChar w:fldCharType="begin"/>
      </w:r>
      <w:r>
        <w:instrText xml:space="preserve"> HYPERLINK \l "_Toc31918" </w:instrText>
      </w:r>
      <w:r>
        <w:fldChar w:fldCharType="separate"/>
      </w:r>
      <w:r>
        <w:rPr>
          <w:rFonts w:hint="eastAsia" w:ascii="仿宋_GB2312" w:hAnsi="仿宋_GB2312" w:eastAsia="仿宋_GB2312" w:cs="仿宋_GB2312"/>
          <w:b/>
          <w:bCs/>
          <w:sz w:val="32"/>
          <w:szCs w:val="32"/>
        </w:rPr>
        <w:t xml:space="preserve">第一部分 </w:t>
      </w:r>
      <w:r>
        <w:rPr>
          <w:rFonts w:hint="eastAsia" w:ascii="仿宋_GB2312" w:hAnsi="仿宋_GB2312" w:eastAsia="仿宋_GB2312" w:cs="仿宋_GB2312"/>
          <w:b/>
          <w:bCs/>
          <w:sz w:val="32"/>
          <w:szCs w:val="32"/>
          <w:lang w:val="en-US" w:eastAsia="zh-CN"/>
        </w:rPr>
        <w:t>单位</w:t>
      </w:r>
      <w:r>
        <w:rPr>
          <w:rFonts w:hint="eastAsia" w:ascii="仿宋_GB2312" w:hAnsi="仿宋_GB2312" w:eastAsia="仿宋_GB2312" w:cs="仿宋_GB2312"/>
          <w:b/>
          <w:bCs/>
          <w:sz w:val="32"/>
          <w:szCs w:val="32"/>
        </w:rPr>
        <w:t>概况</w:t>
      </w:r>
      <w:r>
        <w:rPr>
          <w:rFonts w:hint="eastAsia" w:ascii="仿宋_GB2312" w:hAnsi="仿宋_GB2312" w:eastAsia="仿宋_GB2312" w:cs="仿宋_GB2312"/>
          <w:b/>
          <w:bCs/>
          <w:sz w:val="32"/>
          <w:szCs w:val="32"/>
        </w:rPr>
        <w:fldChar w:fldCharType="end"/>
      </w:r>
    </w:p>
    <w:p w14:paraId="14E61CF1">
      <w:pPr>
        <w:pStyle w:val="8"/>
        <w:tabs>
          <w:tab w:val="right" w:leader="dot" w:pos="8306"/>
        </w:tabs>
        <w:ind w:left="0" w:leftChars="0"/>
        <w:rPr>
          <w:rFonts w:ascii="仿宋_GB2312" w:hAnsi="仿宋_GB2312" w:eastAsia="仿宋_GB2312" w:cs="仿宋_GB2312"/>
          <w:sz w:val="32"/>
          <w:szCs w:val="32"/>
        </w:rPr>
      </w:pPr>
      <w:r>
        <w:fldChar w:fldCharType="begin"/>
      </w:r>
      <w:r>
        <w:instrText xml:space="preserve"> HYPERLINK \l "_Toc2898" </w:instrText>
      </w:r>
      <w:r>
        <w:fldChar w:fldCharType="separate"/>
      </w:r>
      <w:r>
        <w:rPr>
          <w:rFonts w:hint="eastAsia" w:ascii="仿宋_GB2312" w:hAnsi="仿宋_GB2312" w:eastAsia="仿宋_GB2312" w:cs="仿宋_GB2312"/>
          <w:bCs/>
          <w:kern w:val="0"/>
          <w:sz w:val="32"/>
          <w:szCs w:val="32"/>
        </w:rPr>
        <w:t>一、主要职能</w:t>
      </w:r>
      <w:r>
        <w:rPr>
          <w:rFonts w:hint="eastAsia" w:ascii="仿宋_GB2312" w:hAnsi="仿宋_GB2312" w:eastAsia="仿宋_GB2312" w:cs="仿宋_GB2312"/>
          <w:bCs/>
          <w:kern w:val="0"/>
          <w:sz w:val="32"/>
          <w:szCs w:val="32"/>
        </w:rPr>
        <w:fldChar w:fldCharType="end"/>
      </w:r>
    </w:p>
    <w:p w14:paraId="012905BB">
      <w:pPr>
        <w:pStyle w:val="8"/>
        <w:tabs>
          <w:tab w:val="right" w:leader="dot" w:pos="8306"/>
        </w:tabs>
        <w:ind w:left="0" w:leftChars="0"/>
        <w:rPr>
          <w:rFonts w:ascii="仿宋_GB2312" w:hAnsi="仿宋_GB2312" w:eastAsia="仿宋_GB2312" w:cs="仿宋_GB2312"/>
          <w:sz w:val="32"/>
          <w:szCs w:val="32"/>
        </w:rPr>
      </w:pPr>
      <w:r>
        <w:fldChar w:fldCharType="begin"/>
      </w:r>
      <w:r>
        <w:instrText xml:space="preserve"> HYPERLINK \l "_Toc1387" </w:instrText>
      </w:r>
      <w:r>
        <w:fldChar w:fldCharType="separate"/>
      </w:r>
      <w:r>
        <w:rPr>
          <w:rFonts w:hint="eastAsia" w:ascii="仿宋_GB2312" w:hAnsi="仿宋_GB2312" w:eastAsia="仿宋_GB2312" w:cs="仿宋_GB2312"/>
          <w:bCs/>
          <w:kern w:val="0"/>
          <w:sz w:val="32"/>
          <w:szCs w:val="32"/>
        </w:rPr>
        <w:t>二、机构设置及人员情况</w:t>
      </w:r>
      <w:r>
        <w:rPr>
          <w:rFonts w:hint="eastAsia" w:ascii="仿宋_GB2312" w:hAnsi="仿宋_GB2312" w:eastAsia="仿宋_GB2312" w:cs="仿宋_GB2312"/>
          <w:bCs/>
          <w:kern w:val="0"/>
          <w:sz w:val="32"/>
          <w:szCs w:val="32"/>
        </w:rPr>
        <w:fldChar w:fldCharType="end"/>
      </w:r>
    </w:p>
    <w:p w14:paraId="2034E7DD">
      <w:pPr>
        <w:pStyle w:val="7"/>
        <w:tabs>
          <w:tab w:val="right" w:leader="dot" w:pos="8306"/>
        </w:tabs>
        <w:rPr>
          <w:rFonts w:ascii="仿宋_GB2312" w:hAnsi="仿宋_GB2312" w:eastAsia="仿宋_GB2312" w:cs="仿宋_GB2312"/>
          <w:b/>
          <w:bCs/>
          <w:sz w:val="32"/>
          <w:szCs w:val="32"/>
        </w:rPr>
      </w:pPr>
      <w:r>
        <w:fldChar w:fldCharType="begin"/>
      </w:r>
      <w:r>
        <w:instrText xml:space="preserve"> HYPERLINK \l "_Toc7559" </w:instrText>
      </w:r>
      <w:r>
        <w:fldChar w:fldCharType="separate"/>
      </w:r>
      <w:r>
        <w:rPr>
          <w:rFonts w:hint="eastAsia" w:ascii="仿宋_GB2312" w:hAnsi="仿宋_GB2312" w:eastAsia="仿宋_GB2312" w:cs="仿宋_GB2312"/>
          <w:b/>
          <w:bCs/>
          <w:sz w:val="32"/>
          <w:szCs w:val="32"/>
        </w:rPr>
        <w:t>第二部分 部门决算情况说明</w:t>
      </w:r>
      <w:r>
        <w:rPr>
          <w:rFonts w:hint="eastAsia" w:ascii="仿宋_GB2312" w:hAnsi="仿宋_GB2312" w:eastAsia="仿宋_GB2312" w:cs="仿宋_GB2312"/>
          <w:b/>
          <w:bCs/>
          <w:sz w:val="32"/>
          <w:szCs w:val="32"/>
        </w:rPr>
        <w:fldChar w:fldCharType="end"/>
      </w:r>
    </w:p>
    <w:p w14:paraId="3E28887F">
      <w:pPr>
        <w:pStyle w:val="8"/>
        <w:tabs>
          <w:tab w:val="right" w:leader="dot" w:pos="8306"/>
        </w:tabs>
        <w:ind w:left="0" w:leftChars="0"/>
        <w:rPr>
          <w:rFonts w:ascii="仿宋_GB2312" w:hAnsi="仿宋_GB2312" w:eastAsia="仿宋_GB2312" w:cs="仿宋_GB2312"/>
          <w:sz w:val="32"/>
          <w:szCs w:val="32"/>
        </w:rPr>
      </w:pPr>
      <w:r>
        <w:fldChar w:fldCharType="begin"/>
      </w:r>
      <w:r>
        <w:instrText xml:space="preserve"> HYPERLINK \l "_Toc6321" </w:instrText>
      </w:r>
      <w:r>
        <w:fldChar w:fldCharType="separate"/>
      </w:r>
      <w:r>
        <w:rPr>
          <w:rFonts w:hint="eastAsia" w:ascii="仿宋_GB2312" w:hAnsi="仿宋_GB2312" w:eastAsia="仿宋_GB2312" w:cs="仿宋_GB2312"/>
          <w:bCs/>
          <w:kern w:val="0"/>
          <w:sz w:val="32"/>
          <w:szCs w:val="32"/>
        </w:rPr>
        <w:t>一、收入支出决算总体情况说明</w:t>
      </w:r>
      <w:r>
        <w:rPr>
          <w:rFonts w:hint="eastAsia" w:ascii="仿宋_GB2312" w:hAnsi="仿宋_GB2312" w:eastAsia="仿宋_GB2312" w:cs="仿宋_GB2312"/>
          <w:bCs/>
          <w:kern w:val="0"/>
          <w:sz w:val="32"/>
          <w:szCs w:val="32"/>
        </w:rPr>
        <w:fldChar w:fldCharType="end"/>
      </w:r>
    </w:p>
    <w:p w14:paraId="27432F30">
      <w:pPr>
        <w:pStyle w:val="8"/>
        <w:tabs>
          <w:tab w:val="right" w:leader="dot" w:pos="8306"/>
        </w:tabs>
        <w:ind w:left="0" w:leftChars="0"/>
        <w:rPr>
          <w:rFonts w:ascii="仿宋_GB2312" w:hAnsi="仿宋_GB2312" w:eastAsia="仿宋_GB2312" w:cs="仿宋_GB2312"/>
          <w:sz w:val="32"/>
          <w:szCs w:val="32"/>
        </w:rPr>
      </w:pPr>
      <w:r>
        <w:fldChar w:fldCharType="begin"/>
      </w:r>
      <w:r>
        <w:instrText xml:space="preserve"> HYPERLINK \l "_Toc6311" </w:instrText>
      </w:r>
      <w:r>
        <w:fldChar w:fldCharType="separate"/>
      </w:r>
      <w:r>
        <w:rPr>
          <w:rFonts w:hint="eastAsia" w:ascii="仿宋_GB2312" w:hAnsi="仿宋_GB2312" w:eastAsia="仿宋_GB2312" w:cs="仿宋_GB2312"/>
          <w:bCs/>
          <w:kern w:val="0"/>
          <w:sz w:val="32"/>
          <w:szCs w:val="32"/>
        </w:rPr>
        <w:t>二、收入决算情况说明</w:t>
      </w:r>
      <w:r>
        <w:rPr>
          <w:rFonts w:hint="eastAsia" w:ascii="仿宋_GB2312" w:hAnsi="仿宋_GB2312" w:eastAsia="仿宋_GB2312" w:cs="仿宋_GB2312"/>
          <w:bCs/>
          <w:kern w:val="0"/>
          <w:sz w:val="32"/>
          <w:szCs w:val="32"/>
        </w:rPr>
        <w:fldChar w:fldCharType="end"/>
      </w:r>
    </w:p>
    <w:p w14:paraId="3F8DE2C8">
      <w:pPr>
        <w:pStyle w:val="8"/>
        <w:tabs>
          <w:tab w:val="right" w:leader="dot" w:pos="8306"/>
        </w:tabs>
        <w:ind w:left="0" w:leftChars="0"/>
        <w:rPr>
          <w:rFonts w:ascii="仿宋_GB2312" w:hAnsi="仿宋_GB2312" w:eastAsia="仿宋_GB2312" w:cs="仿宋_GB2312"/>
          <w:sz w:val="32"/>
          <w:szCs w:val="32"/>
        </w:rPr>
      </w:pPr>
      <w:r>
        <w:fldChar w:fldCharType="begin"/>
      </w:r>
      <w:r>
        <w:instrText xml:space="preserve"> HYPERLINK \l "_Toc20629" </w:instrText>
      </w:r>
      <w:r>
        <w:fldChar w:fldCharType="separate"/>
      </w:r>
      <w:r>
        <w:rPr>
          <w:rFonts w:hint="eastAsia" w:ascii="仿宋_GB2312" w:hAnsi="仿宋_GB2312" w:eastAsia="仿宋_GB2312" w:cs="仿宋_GB2312"/>
          <w:bCs/>
          <w:kern w:val="0"/>
          <w:sz w:val="32"/>
          <w:szCs w:val="32"/>
        </w:rPr>
        <w:t>三、支出决算情况说明</w:t>
      </w:r>
      <w:r>
        <w:rPr>
          <w:rFonts w:hint="eastAsia" w:ascii="仿宋_GB2312" w:hAnsi="仿宋_GB2312" w:eastAsia="仿宋_GB2312" w:cs="仿宋_GB2312"/>
          <w:bCs/>
          <w:kern w:val="0"/>
          <w:sz w:val="32"/>
          <w:szCs w:val="32"/>
        </w:rPr>
        <w:fldChar w:fldCharType="end"/>
      </w:r>
    </w:p>
    <w:p w14:paraId="1190F440">
      <w:pPr>
        <w:pStyle w:val="8"/>
        <w:tabs>
          <w:tab w:val="right" w:leader="dot" w:pos="8306"/>
        </w:tabs>
        <w:ind w:left="0" w:leftChars="0"/>
        <w:rPr>
          <w:rFonts w:ascii="仿宋_GB2312" w:hAnsi="仿宋_GB2312" w:eastAsia="仿宋_GB2312" w:cs="仿宋_GB2312"/>
          <w:sz w:val="32"/>
          <w:szCs w:val="32"/>
        </w:rPr>
      </w:pPr>
      <w:r>
        <w:fldChar w:fldCharType="begin"/>
      </w:r>
      <w:r>
        <w:instrText xml:space="preserve"> HYPERLINK \l "_Toc7371" </w:instrText>
      </w:r>
      <w:r>
        <w:fldChar w:fldCharType="separate"/>
      </w:r>
      <w:r>
        <w:rPr>
          <w:rFonts w:hint="eastAsia" w:ascii="仿宋_GB2312" w:hAnsi="仿宋_GB2312" w:eastAsia="仿宋_GB2312" w:cs="仿宋_GB2312"/>
          <w:bCs/>
          <w:kern w:val="0"/>
          <w:sz w:val="32"/>
          <w:szCs w:val="32"/>
        </w:rPr>
        <w:t>四、财政拨款收入支出决算总体情况说明</w:t>
      </w:r>
      <w:r>
        <w:rPr>
          <w:rFonts w:hint="eastAsia" w:ascii="仿宋_GB2312" w:hAnsi="仿宋_GB2312" w:eastAsia="仿宋_GB2312" w:cs="仿宋_GB2312"/>
          <w:bCs/>
          <w:kern w:val="0"/>
          <w:sz w:val="32"/>
          <w:szCs w:val="32"/>
        </w:rPr>
        <w:fldChar w:fldCharType="end"/>
      </w:r>
    </w:p>
    <w:p w14:paraId="313E4CC6">
      <w:pPr>
        <w:pStyle w:val="8"/>
        <w:tabs>
          <w:tab w:val="right" w:leader="dot" w:pos="8306"/>
        </w:tabs>
        <w:ind w:left="0" w:leftChars="0"/>
        <w:rPr>
          <w:rFonts w:ascii="仿宋_GB2312" w:hAnsi="仿宋_GB2312" w:eastAsia="仿宋_GB2312" w:cs="仿宋_GB2312"/>
          <w:sz w:val="32"/>
          <w:szCs w:val="32"/>
        </w:rPr>
      </w:pPr>
      <w:r>
        <w:fldChar w:fldCharType="begin"/>
      </w:r>
      <w:r>
        <w:instrText xml:space="preserve"> HYPERLINK \l "_Toc18905" </w:instrText>
      </w:r>
      <w:r>
        <w:fldChar w:fldCharType="separate"/>
      </w:r>
      <w:r>
        <w:rPr>
          <w:rFonts w:hint="eastAsia" w:ascii="仿宋_GB2312" w:hAnsi="仿宋_GB2312" w:eastAsia="仿宋_GB2312" w:cs="仿宋_GB2312"/>
          <w:bCs/>
          <w:kern w:val="0"/>
          <w:sz w:val="32"/>
          <w:szCs w:val="32"/>
        </w:rPr>
        <w:t>五、一般公共预算财政拨款支出决算情况说明</w:t>
      </w:r>
      <w:r>
        <w:rPr>
          <w:rFonts w:hint="eastAsia" w:ascii="仿宋_GB2312" w:hAnsi="仿宋_GB2312" w:eastAsia="仿宋_GB2312" w:cs="仿宋_GB2312"/>
          <w:bCs/>
          <w:kern w:val="0"/>
          <w:sz w:val="32"/>
          <w:szCs w:val="32"/>
        </w:rPr>
        <w:fldChar w:fldCharType="end"/>
      </w:r>
    </w:p>
    <w:p w14:paraId="34CE6D68">
      <w:pPr>
        <w:pStyle w:val="4"/>
        <w:tabs>
          <w:tab w:val="right" w:leader="dot" w:pos="8306"/>
        </w:tabs>
        <w:ind w:left="0" w:leftChars="0"/>
        <w:rPr>
          <w:rFonts w:ascii="仿宋_GB2312" w:hAnsi="仿宋_GB2312" w:eastAsia="仿宋_GB2312" w:cs="仿宋_GB2312"/>
          <w:sz w:val="32"/>
          <w:szCs w:val="32"/>
        </w:rPr>
      </w:pPr>
      <w:r>
        <w:fldChar w:fldCharType="begin"/>
      </w:r>
      <w:r>
        <w:instrText xml:space="preserve"> HYPERLINK \l "_Toc1165" </w:instrText>
      </w:r>
      <w:r>
        <w:fldChar w:fldCharType="separate"/>
      </w:r>
      <w:r>
        <w:rPr>
          <w:rFonts w:hint="eastAsia" w:ascii="仿宋_GB2312" w:hAnsi="仿宋_GB2312" w:eastAsia="仿宋_GB2312" w:cs="仿宋_GB2312"/>
          <w:sz w:val="32"/>
          <w:szCs w:val="32"/>
        </w:rPr>
        <w:t>（一）一般公共预算财政拨款支出决算总体情况</w:t>
      </w:r>
      <w:r>
        <w:rPr>
          <w:rFonts w:hint="eastAsia" w:ascii="仿宋_GB2312" w:hAnsi="仿宋_GB2312" w:eastAsia="仿宋_GB2312" w:cs="仿宋_GB2312"/>
          <w:sz w:val="32"/>
          <w:szCs w:val="32"/>
        </w:rPr>
        <w:fldChar w:fldCharType="end"/>
      </w:r>
    </w:p>
    <w:p w14:paraId="13500B5E">
      <w:pPr>
        <w:pStyle w:val="4"/>
        <w:tabs>
          <w:tab w:val="right" w:leader="dot" w:pos="8306"/>
        </w:tabs>
        <w:ind w:left="0" w:leftChars="0"/>
        <w:rPr>
          <w:rFonts w:ascii="仿宋_GB2312" w:hAnsi="仿宋_GB2312" w:eastAsia="仿宋_GB2312" w:cs="仿宋_GB2312"/>
          <w:sz w:val="32"/>
          <w:szCs w:val="32"/>
        </w:rPr>
      </w:pPr>
      <w:r>
        <w:fldChar w:fldCharType="begin"/>
      </w:r>
      <w:r>
        <w:instrText xml:space="preserve"> HYPERLINK \l "_Toc27147" </w:instrText>
      </w:r>
      <w:r>
        <w:fldChar w:fldCharType="separate"/>
      </w:r>
      <w:r>
        <w:rPr>
          <w:rFonts w:hint="eastAsia" w:ascii="仿宋_GB2312" w:hAnsi="仿宋_GB2312" w:eastAsia="仿宋_GB2312" w:cs="仿宋_GB2312"/>
          <w:sz w:val="32"/>
          <w:szCs w:val="32"/>
        </w:rPr>
        <w:t>（二）一般公共预算财政拨款支出决算结构情况</w:t>
      </w:r>
      <w:r>
        <w:rPr>
          <w:rFonts w:hint="eastAsia" w:ascii="仿宋_GB2312" w:hAnsi="仿宋_GB2312" w:eastAsia="仿宋_GB2312" w:cs="仿宋_GB2312"/>
          <w:sz w:val="32"/>
          <w:szCs w:val="32"/>
        </w:rPr>
        <w:fldChar w:fldCharType="end"/>
      </w:r>
    </w:p>
    <w:p w14:paraId="653F683C">
      <w:pPr>
        <w:pStyle w:val="4"/>
        <w:tabs>
          <w:tab w:val="right" w:leader="dot" w:pos="8306"/>
        </w:tabs>
        <w:ind w:left="0" w:leftChars="0"/>
        <w:rPr>
          <w:rFonts w:ascii="仿宋_GB2312" w:hAnsi="仿宋_GB2312" w:eastAsia="仿宋_GB2312" w:cs="仿宋_GB2312"/>
          <w:sz w:val="32"/>
          <w:szCs w:val="32"/>
        </w:rPr>
      </w:pPr>
      <w:r>
        <w:fldChar w:fldCharType="begin"/>
      </w:r>
      <w:r>
        <w:instrText xml:space="preserve"> HYPERLINK \l "_Toc10037" </w:instrText>
      </w:r>
      <w:r>
        <w:fldChar w:fldCharType="separate"/>
      </w:r>
      <w:r>
        <w:rPr>
          <w:rFonts w:hint="eastAsia" w:ascii="仿宋_GB2312" w:hAnsi="仿宋_GB2312" w:eastAsia="仿宋_GB2312" w:cs="仿宋_GB2312"/>
          <w:sz w:val="32"/>
          <w:szCs w:val="32"/>
        </w:rPr>
        <w:t>（三）一般公共预算财政拨款支出决算具体情况</w:t>
      </w:r>
      <w:r>
        <w:rPr>
          <w:rFonts w:hint="eastAsia" w:ascii="仿宋_GB2312" w:hAnsi="仿宋_GB2312" w:eastAsia="仿宋_GB2312" w:cs="仿宋_GB2312"/>
          <w:sz w:val="32"/>
          <w:szCs w:val="32"/>
        </w:rPr>
        <w:fldChar w:fldCharType="end"/>
      </w:r>
    </w:p>
    <w:p w14:paraId="3275B08B">
      <w:pPr>
        <w:pStyle w:val="8"/>
        <w:tabs>
          <w:tab w:val="right" w:leader="dot" w:pos="8306"/>
        </w:tabs>
        <w:ind w:left="0" w:leftChars="0"/>
        <w:rPr>
          <w:rFonts w:ascii="仿宋_GB2312" w:hAnsi="仿宋_GB2312" w:eastAsia="仿宋_GB2312" w:cs="仿宋_GB2312"/>
          <w:sz w:val="32"/>
          <w:szCs w:val="32"/>
        </w:rPr>
      </w:pPr>
      <w:r>
        <w:fldChar w:fldCharType="begin"/>
      </w:r>
      <w:r>
        <w:instrText xml:space="preserve"> HYPERLINK \l "_Toc23415" </w:instrText>
      </w:r>
      <w:r>
        <w:fldChar w:fldCharType="separate"/>
      </w:r>
      <w:r>
        <w:rPr>
          <w:rFonts w:hint="eastAsia" w:ascii="仿宋_GB2312" w:hAnsi="仿宋_GB2312" w:eastAsia="仿宋_GB2312" w:cs="仿宋_GB2312"/>
          <w:bCs/>
          <w:kern w:val="0"/>
          <w:sz w:val="32"/>
          <w:szCs w:val="32"/>
        </w:rPr>
        <w:t>六、一般公共预算财政拨款基本支出决算情况说明</w:t>
      </w:r>
      <w:r>
        <w:rPr>
          <w:rFonts w:hint="eastAsia" w:ascii="仿宋_GB2312" w:hAnsi="仿宋_GB2312" w:eastAsia="仿宋_GB2312" w:cs="仿宋_GB2312"/>
          <w:bCs/>
          <w:kern w:val="0"/>
          <w:sz w:val="32"/>
          <w:szCs w:val="32"/>
        </w:rPr>
        <w:fldChar w:fldCharType="end"/>
      </w:r>
    </w:p>
    <w:p w14:paraId="1A6B1947">
      <w:pPr>
        <w:pStyle w:val="8"/>
        <w:tabs>
          <w:tab w:val="right" w:leader="dot" w:pos="8306"/>
        </w:tabs>
        <w:ind w:left="0" w:leftChars="0"/>
        <w:rPr>
          <w:rFonts w:ascii="仿宋_GB2312" w:hAnsi="仿宋_GB2312" w:eastAsia="仿宋_GB2312" w:cs="仿宋_GB2312"/>
          <w:sz w:val="32"/>
          <w:szCs w:val="32"/>
        </w:rPr>
      </w:pPr>
      <w:r>
        <w:fldChar w:fldCharType="begin"/>
      </w:r>
      <w:r>
        <w:instrText xml:space="preserve"> HYPERLINK \l "_Toc7523" </w:instrText>
      </w:r>
      <w:r>
        <w:fldChar w:fldCharType="separate"/>
      </w:r>
      <w:r>
        <w:rPr>
          <w:rFonts w:hint="eastAsia" w:ascii="仿宋_GB2312" w:hAnsi="仿宋_GB2312" w:eastAsia="仿宋_GB2312" w:cs="仿宋_GB2312"/>
          <w:bCs/>
          <w:kern w:val="0"/>
          <w:sz w:val="32"/>
          <w:szCs w:val="32"/>
        </w:rPr>
        <w:t>七、政府性基金预算财政拨款收入支出决算情况说明</w:t>
      </w:r>
      <w:r>
        <w:rPr>
          <w:rFonts w:hint="eastAsia" w:ascii="仿宋_GB2312" w:hAnsi="仿宋_GB2312" w:eastAsia="仿宋_GB2312" w:cs="仿宋_GB2312"/>
          <w:bCs/>
          <w:kern w:val="0"/>
          <w:sz w:val="32"/>
          <w:szCs w:val="32"/>
        </w:rPr>
        <w:fldChar w:fldCharType="end"/>
      </w:r>
    </w:p>
    <w:p w14:paraId="58572E76">
      <w:pPr>
        <w:pStyle w:val="8"/>
        <w:tabs>
          <w:tab w:val="right" w:leader="dot" w:pos="8306"/>
        </w:tabs>
        <w:ind w:left="0" w:leftChars="0"/>
        <w:rPr>
          <w:rFonts w:ascii="仿宋_GB2312" w:hAnsi="仿宋_GB2312" w:eastAsia="仿宋_GB2312" w:cs="仿宋_GB2312"/>
          <w:sz w:val="32"/>
          <w:szCs w:val="32"/>
        </w:rPr>
      </w:pPr>
      <w:r>
        <w:fldChar w:fldCharType="begin"/>
      </w:r>
      <w:r>
        <w:instrText xml:space="preserve"> HYPERLINK \l "_Toc5563" </w:instrText>
      </w:r>
      <w:r>
        <w:fldChar w:fldCharType="separate"/>
      </w:r>
      <w:r>
        <w:rPr>
          <w:rFonts w:hint="eastAsia" w:ascii="仿宋_GB2312" w:hAnsi="仿宋_GB2312" w:eastAsia="仿宋_GB2312" w:cs="仿宋_GB2312"/>
          <w:bCs/>
          <w:kern w:val="0"/>
          <w:sz w:val="32"/>
          <w:szCs w:val="32"/>
        </w:rPr>
        <w:t>八、国有资本经营预算财政拨款收入支出决算情况说明</w:t>
      </w:r>
      <w:r>
        <w:rPr>
          <w:rFonts w:hint="eastAsia" w:ascii="仿宋_GB2312" w:hAnsi="仿宋_GB2312" w:eastAsia="仿宋_GB2312" w:cs="仿宋_GB2312"/>
          <w:bCs/>
          <w:kern w:val="0"/>
          <w:sz w:val="32"/>
          <w:szCs w:val="32"/>
        </w:rPr>
        <w:fldChar w:fldCharType="end"/>
      </w:r>
    </w:p>
    <w:p w14:paraId="054A4DEF">
      <w:pPr>
        <w:pStyle w:val="8"/>
        <w:tabs>
          <w:tab w:val="right" w:leader="dot" w:pos="8306"/>
        </w:tabs>
        <w:ind w:left="0" w:leftChars="0"/>
        <w:rPr>
          <w:rFonts w:ascii="仿宋_GB2312" w:hAnsi="仿宋_GB2312" w:eastAsia="仿宋_GB2312" w:cs="仿宋_GB2312"/>
          <w:sz w:val="32"/>
          <w:szCs w:val="32"/>
        </w:rPr>
      </w:pPr>
      <w:r>
        <w:fldChar w:fldCharType="begin"/>
      </w:r>
      <w:r>
        <w:instrText xml:space="preserve"> HYPERLINK \l "_Toc9161" </w:instrText>
      </w:r>
      <w:r>
        <w:fldChar w:fldCharType="separate"/>
      </w:r>
      <w:r>
        <w:rPr>
          <w:rFonts w:hint="eastAsia" w:ascii="仿宋_GB2312" w:hAnsi="仿宋_GB2312" w:eastAsia="仿宋_GB2312" w:cs="仿宋_GB2312"/>
          <w:bCs/>
          <w:kern w:val="0"/>
          <w:sz w:val="32"/>
          <w:szCs w:val="32"/>
        </w:rPr>
        <w:t>九、财政拨款“三公”经费支出决算情况说明</w:t>
      </w:r>
      <w:r>
        <w:rPr>
          <w:rFonts w:hint="eastAsia" w:ascii="仿宋_GB2312" w:hAnsi="仿宋_GB2312" w:eastAsia="仿宋_GB2312" w:cs="仿宋_GB2312"/>
          <w:bCs/>
          <w:kern w:val="0"/>
          <w:sz w:val="32"/>
          <w:szCs w:val="32"/>
        </w:rPr>
        <w:fldChar w:fldCharType="end"/>
      </w:r>
    </w:p>
    <w:p w14:paraId="6BEBFB59">
      <w:pPr>
        <w:pStyle w:val="8"/>
        <w:tabs>
          <w:tab w:val="right" w:leader="dot" w:pos="8306"/>
        </w:tabs>
        <w:ind w:left="0" w:leftChars="0"/>
        <w:rPr>
          <w:rFonts w:ascii="仿宋_GB2312" w:hAnsi="仿宋_GB2312" w:eastAsia="仿宋_GB2312" w:cs="仿宋_GB2312"/>
          <w:sz w:val="32"/>
          <w:szCs w:val="32"/>
        </w:rPr>
      </w:pPr>
      <w:r>
        <w:fldChar w:fldCharType="begin"/>
      </w:r>
      <w:r>
        <w:instrText xml:space="preserve"> HYPERLINK \l "_Toc16395" </w:instrText>
      </w:r>
      <w:r>
        <w:fldChar w:fldCharType="separate"/>
      </w:r>
      <w:r>
        <w:rPr>
          <w:rFonts w:hint="eastAsia" w:ascii="仿宋_GB2312" w:hAnsi="仿宋_GB2312" w:eastAsia="仿宋_GB2312" w:cs="仿宋_GB2312"/>
          <w:bCs/>
          <w:kern w:val="0"/>
          <w:sz w:val="32"/>
          <w:szCs w:val="32"/>
        </w:rPr>
        <w:t>十、其他重要事项的情况说明</w:t>
      </w:r>
      <w:r>
        <w:rPr>
          <w:rFonts w:hint="eastAsia" w:ascii="仿宋_GB2312" w:hAnsi="仿宋_GB2312" w:eastAsia="仿宋_GB2312" w:cs="仿宋_GB2312"/>
          <w:bCs/>
          <w:kern w:val="0"/>
          <w:sz w:val="32"/>
          <w:szCs w:val="32"/>
        </w:rPr>
        <w:fldChar w:fldCharType="end"/>
      </w:r>
    </w:p>
    <w:p w14:paraId="6DD201C9">
      <w:pPr>
        <w:pStyle w:val="4"/>
        <w:tabs>
          <w:tab w:val="right" w:leader="dot" w:pos="8306"/>
        </w:tabs>
        <w:ind w:left="0" w:leftChars="0"/>
        <w:rPr>
          <w:rFonts w:ascii="仿宋_GB2312" w:hAnsi="仿宋_GB2312" w:eastAsia="仿宋_GB2312" w:cs="仿宋_GB2312"/>
          <w:sz w:val="32"/>
          <w:szCs w:val="32"/>
        </w:rPr>
      </w:pPr>
      <w:r>
        <w:fldChar w:fldCharType="begin"/>
      </w:r>
      <w:r>
        <w:instrText xml:space="preserve"> HYPERLINK \l "_Toc21748" </w:instrText>
      </w:r>
      <w:r>
        <w:fldChar w:fldCharType="separate"/>
      </w:r>
      <w:r>
        <w:rPr>
          <w:rFonts w:hint="eastAsia" w:ascii="仿宋_GB2312" w:hAnsi="仿宋_GB2312" w:eastAsia="仿宋_GB2312" w:cs="仿宋_GB2312"/>
          <w:sz w:val="32"/>
          <w:szCs w:val="32"/>
        </w:rPr>
        <w:t>（一）机关运行经费及公用经费支出情况</w:t>
      </w:r>
      <w:r>
        <w:rPr>
          <w:rFonts w:hint="eastAsia" w:ascii="仿宋_GB2312" w:hAnsi="仿宋_GB2312" w:eastAsia="仿宋_GB2312" w:cs="仿宋_GB2312"/>
          <w:sz w:val="32"/>
          <w:szCs w:val="32"/>
        </w:rPr>
        <w:fldChar w:fldCharType="end"/>
      </w:r>
    </w:p>
    <w:p w14:paraId="1F32C2AB">
      <w:pPr>
        <w:pStyle w:val="4"/>
        <w:tabs>
          <w:tab w:val="right" w:leader="dot" w:pos="8306"/>
        </w:tabs>
        <w:ind w:left="0" w:leftChars="0"/>
        <w:rPr>
          <w:rFonts w:ascii="仿宋_GB2312" w:hAnsi="仿宋_GB2312" w:eastAsia="仿宋_GB2312" w:cs="仿宋_GB2312"/>
          <w:sz w:val="32"/>
          <w:szCs w:val="32"/>
        </w:rPr>
      </w:pPr>
      <w:r>
        <w:fldChar w:fldCharType="begin"/>
      </w:r>
      <w:r>
        <w:instrText xml:space="preserve"> HYPERLINK \l "_Toc25177" </w:instrText>
      </w:r>
      <w:r>
        <w:fldChar w:fldCharType="separate"/>
      </w:r>
      <w:r>
        <w:rPr>
          <w:rFonts w:hint="eastAsia" w:ascii="仿宋_GB2312" w:hAnsi="仿宋_GB2312" w:eastAsia="仿宋_GB2312" w:cs="仿宋_GB2312"/>
          <w:sz w:val="32"/>
          <w:szCs w:val="32"/>
        </w:rPr>
        <w:t>（二）政府采购情况</w:t>
      </w:r>
      <w:r>
        <w:rPr>
          <w:rFonts w:hint="eastAsia" w:ascii="仿宋_GB2312" w:hAnsi="仿宋_GB2312" w:eastAsia="仿宋_GB2312" w:cs="仿宋_GB2312"/>
          <w:sz w:val="32"/>
          <w:szCs w:val="32"/>
        </w:rPr>
        <w:fldChar w:fldCharType="end"/>
      </w:r>
    </w:p>
    <w:p w14:paraId="248BC9A6">
      <w:pPr>
        <w:pStyle w:val="4"/>
        <w:tabs>
          <w:tab w:val="right" w:leader="dot" w:pos="8306"/>
        </w:tabs>
        <w:ind w:left="0" w:leftChars="0"/>
        <w:rPr>
          <w:rFonts w:ascii="仿宋_GB2312" w:hAnsi="仿宋_GB2312" w:eastAsia="仿宋_GB2312" w:cs="仿宋_GB2312"/>
          <w:sz w:val="32"/>
          <w:szCs w:val="32"/>
        </w:rPr>
      </w:pPr>
      <w:r>
        <w:fldChar w:fldCharType="begin"/>
      </w:r>
      <w:r>
        <w:instrText xml:space="preserve"> HYPERLINK \l "_Toc31294" </w:instrText>
      </w:r>
      <w:r>
        <w:fldChar w:fldCharType="separate"/>
      </w:r>
      <w:r>
        <w:rPr>
          <w:rFonts w:hint="eastAsia" w:ascii="仿宋_GB2312" w:hAnsi="仿宋_GB2312" w:eastAsia="仿宋_GB2312" w:cs="仿宋_GB2312"/>
          <w:sz w:val="32"/>
          <w:szCs w:val="32"/>
        </w:rPr>
        <w:t>（三）国有资产占用情况说明</w:t>
      </w:r>
      <w:r>
        <w:rPr>
          <w:rFonts w:hint="eastAsia" w:ascii="仿宋_GB2312" w:hAnsi="仿宋_GB2312" w:eastAsia="仿宋_GB2312" w:cs="仿宋_GB2312"/>
          <w:sz w:val="32"/>
          <w:szCs w:val="32"/>
        </w:rPr>
        <w:fldChar w:fldCharType="end"/>
      </w:r>
    </w:p>
    <w:p w14:paraId="5DE9A945">
      <w:pPr>
        <w:pStyle w:val="8"/>
        <w:tabs>
          <w:tab w:val="right" w:leader="dot" w:pos="8306"/>
        </w:tabs>
        <w:ind w:left="0" w:leftChars="0"/>
        <w:rPr>
          <w:rFonts w:ascii="仿宋_GB2312" w:hAnsi="仿宋_GB2312" w:eastAsia="仿宋_GB2312" w:cs="仿宋_GB2312"/>
          <w:sz w:val="32"/>
          <w:szCs w:val="32"/>
        </w:rPr>
      </w:pPr>
      <w:r>
        <w:fldChar w:fldCharType="begin"/>
      </w:r>
      <w:r>
        <w:instrText xml:space="preserve"> HYPERLINK \l "_Toc17664" </w:instrText>
      </w:r>
      <w:r>
        <w:fldChar w:fldCharType="separate"/>
      </w:r>
      <w:r>
        <w:rPr>
          <w:rFonts w:hint="eastAsia" w:ascii="仿宋_GB2312" w:hAnsi="仿宋_GB2312" w:eastAsia="仿宋_GB2312" w:cs="仿宋_GB2312"/>
          <w:bCs/>
          <w:kern w:val="0"/>
          <w:sz w:val="32"/>
          <w:szCs w:val="32"/>
        </w:rPr>
        <w:t>十一、预算绩效的情况说明</w:t>
      </w:r>
      <w:r>
        <w:rPr>
          <w:rFonts w:hint="eastAsia" w:ascii="仿宋_GB2312" w:hAnsi="仿宋_GB2312" w:eastAsia="仿宋_GB2312" w:cs="仿宋_GB2312"/>
          <w:bCs/>
          <w:kern w:val="0"/>
          <w:sz w:val="32"/>
          <w:szCs w:val="32"/>
        </w:rPr>
        <w:fldChar w:fldCharType="end"/>
      </w:r>
    </w:p>
    <w:p w14:paraId="21D768DF">
      <w:pPr>
        <w:pStyle w:val="7"/>
        <w:tabs>
          <w:tab w:val="right" w:leader="dot" w:pos="8306"/>
        </w:tabs>
        <w:rPr>
          <w:rFonts w:ascii="仿宋_GB2312" w:hAnsi="仿宋_GB2312" w:eastAsia="仿宋_GB2312" w:cs="仿宋_GB2312"/>
          <w:b/>
          <w:bCs/>
          <w:sz w:val="32"/>
          <w:szCs w:val="32"/>
        </w:rPr>
      </w:pPr>
      <w:r>
        <w:fldChar w:fldCharType="begin"/>
      </w:r>
      <w:r>
        <w:instrText xml:space="preserve"> HYPERLINK \l "_Toc30038" </w:instrText>
      </w:r>
      <w:r>
        <w:fldChar w:fldCharType="separate"/>
      </w:r>
      <w:r>
        <w:rPr>
          <w:rFonts w:hint="eastAsia" w:ascii="仿宋_GB2312" w:hAnsi="仿宋_GB2312" w:eastAsia="仿宋_GB2312" w:cs="仿宋_GB2312"/>
          <w:b/>
          <w:bCs/>
          <w:sz w:val="32"/>
          <w:szCs w:val="32"/>
        </w:rPr>
        <w:t>第三部分 专业名词解释</w:t>
      </w:r>
      <w:r>
        <w:rPr>
          <w:rFonts w:hint="eastAsia" w:ascii="仿宋_GB2312" w:hAnsi="仿宋_GB2312" w:eastAsia="仿宋_GB2312" w:cs="仿宋_GB2312"/>
          <w:b/>
          <w:bCs/>
          <w:sz w:val="32"/>
          <w:szCs w:val="32"/>
        </w:rPr>
        <w:fldChar w:fldCharType="end"/>
      </w:r>
    </w:p>
    <w:p w14:paraId="24F7BB09">
      <w:pPr>
        <w:pStyle w:val="7"/>
        <w:tabs>
          <w:tab w:val="right" w:leader="dot" w:pos="8306"/>
        </w:tabs>
        <w:rPr>
          <w:rFonts w:ascii="仿宋_GB2312" w:hAnsi="仿宋_GB2312" w:eastAsia="仿宋_GB2312" w:cs="仿宋_GB2312"/>
          <w:b/>
          <w:bCs/>
          <w:sz w:val="32"/>
          <w:szCs w:val="32"/>
        </w:rPr>
      </w:pPr>
      <w:r>
        <w:fldChar w:fldCharType="begin"/>
      </w:r>
      <w:r>
        <w:instrText xml:space="preserve"> HYPERLINK \l "_Toc6831" </w:instrText>
      </w:r>
      <w:r>
        <w:fldChar w:fldCharType="separate"/>
      </w:r>
      <w:r>
        <w:rPr>
          <w:rFonts w:hint="eastAsia" w:ascii="仿宋_GB2312" w:hAnsi="仿宋_GB2312" w:eastAsia="仿宋_GB2312" w:cs="仿宋_GB2312"/>
          <w:b/>
          <w:bCs/>
          <w:sz w:val="32"/>
          <w:szCs w:val="32"/>
        </w:rPr>
        <w:t>第四部分 部门决算报表（见附表）</w:t>
      </w:r>
      <w:r>
        <w:rPr>
          <w:rFonts w:hint="eastAsia" w:ascii="仿宋_GB2312" w:hAnsi="仿宋_GB2312" w:eastAsia="仿宋_GB2312" w:cs="仿宋_GB2312"/>
          <w:b/>
          <w:bCs/>
          <w:sz w:val="32"/>
          <w:szCs w:val="32"/>
        </w:rPr>
        <w:fldChar w:fldCharType="end"/>
      </w:r>
    </w:p>
    <w:p w14:paraId="428A4F85">
      <w:pPr>
        <w:pStyle w:val="8"/>
        <w:tabs>
          <w:tab w:val="right" w:leader="dot" w:pos="8306"/>
        </w:tabs>
        <w:ind w:left="0" w:leftChars="0"/>
        <w:rPr>
          <w:rFonts w:ascii="仿宋_GB2312" w:hAnsi="仿宋_GB2312" w:eastAsia="仿宋_GB2312" w:cs="仿宋_GB2312"/>
          <w:sz w:val="32"/>
          <w:szCs w:val="32"/>
        </w:rPr>
      </w:pPr>
      <w:r>
        <w:fldChar w:fldCharType="begin"/>
      </w:r>
      <w:r>
        <w:instrText xml:space="preserve"> HYPERLINK \l "_Toc3845" </w:instrText>
      </w:r>
      <w:r>
        <w:fldChar w:fldCharType="separate"/>
      </w:r>
      <w:r>
        <w:rPr>
          <w:rFonts w:hint="eastAsia" w:ascii="仿宋_GB2312" w:hAnsi="仿宋_GB2312" w:eastAsia="仿宋_GB2312" w:cs="仿宋_GB2312"/>
          <w:bCs/>
          <w:kern w:val="0"/>
          <w:sz w:val="32"/>
          <w:szCs w:val="32"/>
        </w:rPr>
        <w:t>一、《收入支出决算总表》</w:t>
      </w:r>
      <w:r>
        <w:rPr>
          <w:rFonts w:hint="eastAsia" w:ascii="仿宋_GB2312" w:hAnsi="仿宋_GB2312" w:eastAsia="仿宋_GB2312" w:cs="仿宋_GB2312"/>
          <w:bCs/>
          <w:kern w:val="0"/>
          <w:sz w:val="32"/>
          <w:szCs w:val="32"/>
        </w:rPr>
        <w:fldChar w:fldCharType="end"/>
      </w:r>
    </w:p>
    <w:p w14:paraId="3FC50893">
      <w:pPr>
        <w:pStyle w:val="8"/>
        <w:tabs>
          <w:tab w:val="right" w:leader="dot" w:pos="8306"/>
        </w:tabs>
        <w:ind w:left="0" w:leftChars="0"/>
        <w:rPr>
          <w:rFonts w:ascii="仿宋_GB2312" w:hAnsi="仿宋_GB2312" w:eastAsia="仿宋_GB2312" w:cs="仿宋_GB2312"/>
          <w:sz w:val="32"/>
          <w:szCs w:val="32"/>
        </w:rPr>
      </w:pPr>
      <w:r>
        <w:fldChar w:fldCharType="begin"/>
      </w:r>
      <w:r>
        <w:instrText xml:space="preserve"> HYPERLINK \l "_Toc11927" </w:instrText>
      </w:r>
      <w:r>
        <w:fldChar w:fldCharType="separate"/>
      </w:r>
      <w:r>
        <w:rPr>
          <w:rFonts w:hint="eastAsia" w:ascii="仿宋_GB2312" w:hAnsi="仿宋_GB2312" w:eastAsia="仿宋_GB2312" w:cs="仿宋_GB2312"/>
          <w:bCs/>
          <w:kern w:val="0"/>
          <w:sz w:val="32"/>
          <w:szCs w:val="32"/>
        </w:rPr>
        <w:t>二、《收入决算表》</w:t>
      </w:r>
      <w:r>
        <w:rPr>
          <w:rFonts w:hint="eastAsia" w:ascii="仿宋_GB2312" w:hAnsi="仿宋_GB2312" w:eastAsia="仿宋_GB2312" w:cs="仿宋_GB2312"/>
          <w:bCs/>
          <w:kern w:val="0"/>
          <w:sz w:val="32"/>
          <w:szCs w:val="32"/>
        </w:rPr>
        <w:fldChar w:fldCharType="end"/>
      </w:r>
    </w:p>
    <w:p w14:paraId="75F0B3AD">
      <w:pPr>
        <w:pStyle w:val="8"/>
        <w:tabs>
          <w:tab w:val="right" w:leader="dot" w:pos="8306"/>
        </w:tabs>
        <w:ind w:left="0" w:leftChars="0"/>
        <w:rPr>
          <w:rFonts w:ascii="仿宋_GB2312" w:hAnsi="仿宋_GB2312" w:eastAsia="仿宋_GB2312" w:cs="仿宋_GB2312"/>
          <w:sz w:val="32"/>
          <w:szCs w:val="32"/>
        </w:rPr>
      </w:pPr>
      <w:r>
        <w:fldChar w:fldCharType="begin"/>
      </w:r>
      <w:r>
        <w:instrText xml:space="preserve"> HYPERLINK \l "_Toc7443" </w:instrText>
      </w:r>
      <w:r>
        <w:fldChar w:fldCharType="separate"/>
      </w:r>
      <w:r>
        <w:rPr>
          <w:rFonts w:hint="eastAsia" w:ascii="仿宋_GB2312" w:hAnsi="仿宋_GB2312" w:eastAsia="仿宋_GB2312" w:cs="仿宋_GB2312"/>
          <w:bCs/>
          <w:kern w:val="0"/>
          <w:sz w:val="32"/>
          <w:szCs w:val="32"/>
        </w:rPr>
        <w:t>三、《支出决算表》</w:t>
      </w:r>
      <w:r>
        <w:rPr>
          <w:rFonts w:hint="eastAsia" w:ascii="仿宋_GB2312" w:hAnsi="仿宋_GB2312" w:eastAsia="仿宋_GB2312" w:cs="仿宋_GB2312"/>
          <w:bCs/>
          <w:kern w:val="0"/>
          <w:sz w:val="32"/>
          <w:szCs w:val="32"/>
        </w:rPr>
        <w:fldChar w:fldCharType="end"/>
      </w:r>
    </w:p>
    <w:p w14:paraId="56CD4B6B">
      <w:pPr>
        <w:pStyle w:val="8"/>
        <w:tabs>
          <w:tab w:val="right" w:leader="dot" w:pos="8306"/>
        </w:tabs>
        <w:ind w:left="0" w:leftChars="0"/>
        <w:rPr>
          <w:rFonts w:ascii="仿宋_GB2312" w:hAnsi="仿宋_GB2312" w:eastAsia="仿宋_GB2312" w:cs="仿宋_GB2312"/>
          <w:sz w:val="32"/>
          <w:szCs w:val="32"/>
        </w:rPr>
      </w:pPr>
      <w:r>
        <w:fldChar w:fldCharType="begin"/>
      </w:r>
      <w:r>
        <w:instrText xml:space="preserve"> HYPERLINK \l "_Toc24884" </w:instrText>
      </w:r>
      <w:r>
        <w:fldChar w:fldCharType="separate"/>
      </w:r>
      <w:r>
        <w:rPr>
          <w:rFonts w:hint="eastAsia" w:ascii="仿宋_GB2312" w:hAnsi="仿宋_GB2312" w:eastAsia="仿宋_GB2312" w:cs="仿宋_GB2312"/>
          <w:bCs/>
          <w:kern w:val="0"/>
          <w:sz w:val="32"/>
          <w:szCs w:val="32"/>
        </w:rPr>
        <w:t>四、《财政拨款收入支出决算总表》</w:t>
      </w:r>
      <w:r>
        <w:rPr>
          <w:rFonts w:hint="eastAsia" w:ascii="仿宋_GB2312" w:hAnsi="仿宋_GB2312" w:eastAsia="仿宋_GB2312" w:cs="仿宋_GB2312"/>
          <w:bCs/>
          <w:kern w:val="0"/>
          <w:sz w:val="32"/>
          <w:szCs w:val="32"/>
        </w:rPr>
        <w:fldChar w:fldCharType="end"/>
      </w:r>
    </w:p>
    <w:p w14:paraId="064CABA6">
      <w:pPr>
        <w:pStyle w:val="8"/>
        <w:tabs>
          <w:tab w:val="right" w:leader="dot" w:pos="8306"/>
        </w:tabs>
        <w:ind w:left="0" w:leftChars="0"/>
        <w:rPr>
          <w:rFonts w:ascii="仿宋_GB2312" w:hAnsi="仿宋_GB2312" w:eastAsia="仿宋_GB2312" w:cs="仿宋_GB2312"/>
          <w:sz w:val="32"/>
          <w:szCs w:val="32"/>
        </w:rPr>
      </w:pPr>
      <w:r>
        <w:fldChar w:fldCharType="begin"/>
      </w:r>
      <w:r>
        <w:instrText xml:space="preserve"> HYPERLINK \l "_Toc16518" </w:instrText>
      </w:r>
      <w:r>
        <w:fldChar w:fldCharType="separate"/>
      </w:r>
      <w:r>
        <w:rPr>
          <w:rFonts w:hint="eastAsia" w:ascii="仿宋_GB2312" w:hAnsi="仿宋_GB2312" w:eastAsia="仿宋_GB2312" w:cs="仿宋_GB2312"/>
          <w:bCs/>
          <w:kern w:val="0"/>
          <w:sz w:val="32"/>
          <w:szCs w:val="32"/>
        </w:rPr>
        <w:t>五、《一般公共预算财政拨款支出决算表》</w:t>
      </w:r>
      <w:r>
        <w:rPr>
          <w:rFonts w:hint="eastAsia" w:ascii="仿宋_GB2312" w:hAnsi="仿宋_GB2312" w:eastAsia="仿宋_GB2312" w:cs="仿宋_GB2312"/>
          <w:bCs/>
          <w:kern w:val="0"/>
          <w:sz w:val="32"/>
          <w:szCs w:val="32"/>
        </w:rPr>
        <w:fldChar w:fldCharType="end"/>
      </w:r>
    </w:p>
    <w:p w14:paraId="175B27F3">
      <w:pPr>
        <w:pStyle w:val="8"/>
        <w:tabs>
          <w:tab w:val="right" w:leader="dot" w:pos="8306"/>
        </w:tabs>
        <w:ind w:left="0" w:leftChars="0"/>
        <w:rPr>
          <w:rFonts w:ascii="仿宋_GB2312" w:hAnsi="仿宋_GB2312" w:eastAsia="仿宋_GB2312" w:cs="仿宋_GB2312"/>
          <w:sz w:val="32"/>
          <w:szCs w:val="32"/>
        </w:rPr>
      </w:pPr>
      <w:r>
        <w:fldChar w:fldCharType="begin"/>
      </w:r>
      <w:r>
        <w:instrText xml:space="preserve"> HYPERLINK \l "_Toc20514" </w:instrText>
      </w:r>
      <w:r>
        <w:fldChar w:fldCharType="separate"/>
      </w:r>
      <w:r>
        <w:rPr>
          <w:rFonts w:hint="eastAsia" w:ascii="仿宋_GB2312" w:hAnsi="仿宋_GB2312" w:eastAsia="仿宋_GB2312" w:cs="仿宋_GB2312"/>
          <w:bCs/>
          <w:kern w:val="0"/>
          <w:sz w:val="32"/>
          <w:szCs w:val="32"/>
        </w:rPr>
        <w:t>六、《一般公共预算财政拨款基本支出决算表》</w:t>
      </w:r>
      <w:r>
        <w:rPr>
          <w:rFonts w:hint="eastAsia" w:ascii="仿宋_GB2312" w:hAnsi="仿宋_GB2312" w:eastAsia="仿宋_GB2312" w:cs="仿宋_GB2312"/>
          <w:bCs/>
          <w:kern w:val="0"/>
          <w:sz w:val="32"/>
          <w:szCs w:val="32"/>
        </w:rPr>
        <w:fldChar w:fldCharType="end"/>
      </w:r>
    </w:p>
    <w:p w14:paraId="2018967F">
      <w:pPr>
        <w:pStyle w:val="8"/>
        <w:tabs>
          <w:tab w:val="right" w:leader="dot" w:pos="8306"/>
        </w:tabs>
        <w:ind w:left="0" w:leftChars="0"/>
        <w:rPr>
          <w:rFonts w:ascii="仿宋_GB2312" w:hAnsi="仿宋_GB2312" w:eastAsia="仿宋_GB2312" w:cs="仿宋_GB2312"/>
          <w:sz w:val="32"/>
          <w:szCs w:val="32"/>
        </w:rPr>
      </w:pPr>
      <w:r>
        <w:fldChar w:fldCharType="begin"/>
      </w:r>
      <w:r>
        <w:instrText xml:space="preserve"> HYPERLINK \l "_Toc18055" </w:instrText>
      </w:r>
      <w:r>
        <w:fldChar w:fldCharType="separate"/>
      </w:r>
      <w:r>
        <w:rPr>
          <w:rFonts w:hint="eastAsia" w:ascii="仿宋_GB2312" w:hAnsi="仿宋_GB2312" w:eastAsia="仿宋_GB2312" w:cs="仿宋_GB2312"/>
          <w:bCs/>
          <w:kern w:val="0"/>
          <w:sz w:val="32"/>
          <w:szCs w:val="32"/>
        </w:rPr>
        <w:t>七、《政府性基金预算财政拨款收入支出决算表》</w:t>
      </w:r>
      <w:r>
        <w:rPr>
          <w:rFonts w:hint="eastAsia" w:ascii="仿宋_GB2312" w:hAnsi="仿宋_GB2312" w:eastAsia="仿宋_GB2312" w:cs="仿宋_GB2312"/>
          <w:bCs/>
          <w:kern w:val="0"/>
          <w:sz w:val="32"/>
          <w:szCs w:val="32"/>
        </w:rPr>
        <w:fldChar w:fldCharType="end"/>
      </w:r>
    </w:p>
    <w:p w14:paraId="78E7EBCB">
      <w:pPr>
        <w:pStyle w:val="8"/>
        <w:tabs>
          <w:tab w:val="right" w:leader="dot" w:pos="8306"/>
        </w:tabs>
        <w:ind w:left="0" w:leftChars="0"/>
        <w:rPr>
          <w:rFonts w:ascii="仿宋_GB2312" w:hAnsi="仿宋_GB2312" w:eastAsia="仿宋_GB2312" w:cs="仿宋_GB2312"/>
          <w:sz w:val="32"/>
          <w:szCs w:val="32"/>
        </w:rPr>
      </w:pPr>
      <w:r>
        <w:fldChar w:fldCharType="begin"/>
      </w:r>
      <w:r>
        <w:instrText xml:space="preserve"> HYPERLINK \l "_Toc10719" </w:instrText>
      </w:r>
      <w:r>
        <w:fldChar w:fldCharType="separate"/>
      </w:r>
      <w:r>
        <w:rPr>
          <w:rFonts w:hint="eastAsia" w:ascii="仿宋_GB2312" w:hAnsi="仿宋_GB2312" w:eastAsia="仿宋_GB2312" w:cs="仿宋_GB2312"/>
          <w:bCs/>
          <w:kern w:val="0"/>
          <w:sz w:val="32"/>
          <w:szCs w:val="32"/>
        </w:rPr>
        <w:t>八、《国有资本经营预算财政拨款收入支出决算表》</w:t>
      </w:r>
      <w:r>
        <w:rPr>
          <w:rFonts w:hint="eastAsia" w:ascii="仿宋_GB2312" w:hAnsi="仿宋_GB2312" w:eastAsia="仿宋_GB2312" w:cs="仿宋_GB2312"/>
          <w:bCs/>
          <w:kern w:val="0"/>
          <w:sz w:val="32"/>
          <w:szCs w:val="32"/>
        </w:rPr>
        <w:fldChar w:fldCharType="end"/>
      </w:r>
    </w:p>
    <w:p w14:paraId="4049E957">
      <w:pPr>
        <w:pStyle w:val="8"/>
        <w:tabs>
          <w:tab w:val="right" w:leader="dot" w:pos="8306"/>
        </w:tabs>
        <w:ind w:left="0" w:leftChars="0"/>
        <w:rPr>
          <w:rFonts w:ascii="仿宋_GB2312" w:hAnsi="仿宋_GB2312" w:eastAsia="仿宋_GB2312" w:cs="仿宋_GB2312"/>
          <w:sz w:val="32"/>
          <w:szCs w:val="32"/>
        </w:rPr>
      </w:pPr>
      <w:r>
        <w:fldChar w:fldCharType="begin"/>
      </w:r>
      <w:r>
        <w:instrText xml:space="preserve"> HYPERLINK \l "_Toc18861" </w:instrText>
      </w:r>
      <w:r>
        <w:fldChar w:fldCharType="separate"/>
      </w:r>
      <w:r>
        <w:rPr>
          <w:rFonts w:hint="eastAsia" w:ascii="仿宋_GB2312" w:hAnsi="仿宋_GB2312" w:eastAsia="仿宋_GB2312" w:cs="仿宋_GB2312"/>
          <w:bCs/>
          <w:kern w:val="0"/>
          <w:sz w:val="32"/>
          <w:szCs w:val="32"/>
        </w:rPr>
        <w:t>九、《财政拨款“三公”经费支出决算表》</w:t>
      </w:r>
      <w:r>
        <w:rPr>
          <w:rFonts w:hint="eastAsia" w:ascii="仿宋_GB2312" w:hAnsi="仿宋_GB2312" w:eastAsia="仿宋_GB2312" w:cs="仿宋_GB2312"/>
          <w:bCs/>
          <w:kern w:val="0"/>
          <w:sz w:val="32"/>
          <w:szCs w:val="32"/>
        </w:rPr>
        <w:fldChar w:fldCharType="end"/>
      </w:r>
    </w:p>
    <w:p w14:paraId="179A1B0B">
      <w:pPr>
        <w:jc w:val="center"/>
        <w:outlineLvl w:val="0"/>
        <w:rPr>
          <w:rFonts w:ascii="黑体" w:hAnsi="黑体" w:eastAsia="黑体"/>
          <w:sz w:val="32"/>
          <w:szCs w:val="32"/>
        </w:rPr>
      </w:pPr>
      <w:r>
        <w:rPr>
          <w:rFonts w:hint="eastAsia" w:ascii="仿宋_GB2312" w:hAnsi="仿宋_GB2312" w:eastAsia="仿宋_GB2312" w:cs="仿宋_GB2312"/>
          <w:sz w:val="32"/>
          <w:szCs w:val="32"/>
        </w:rPr>
        <w:fldChar w:fldCharType="end"/>
      </w:r>
      <w:r>
        <w:rPr>
          <w:rFonts w:hint="eastAsia" w:ascii="仿宋_GB2312" w:eastAsia="仿宋_GB2312"/>
          <w:sz w:val="32"/>
          <w:szCs w:val="32"/>
        </w:rPr>
        <w:br w:type="page"/>
      </w:r>
      <w:bookmarkStart w:id="0" w:name="_Toc31918"/>
      <w:bookmarkStart w:id="1" w:name="_Toc24028"/>
      <w:r>
        <w:rPr>
          <w:rFonts w:hint="eastAsia" w:ascii="黑体" w:hAnsi="黑体" w:eastAsia="黑体"/>
          <w:sz w:val="32"/>
          <w:szCs w:val="32"/>
        </w:rPr>
        <w:t>第一部分 单位概况</w:t>
      </w:r>
      <w:bookmarkEnd w:id="0"/>
      <w:bookmarkEnd w:id="1"/>
    </w:p>
    <w:p w14:paraId="52F59AF3">
      <w:pPr>
        <w:ind w:firstLine="640" w:firstLineChars="200"/>
        <w:outlineLvl w:val="1"/>
        <w:rPr>
          <w:rFonts w:hint="default" w:ascii="Times New Roman" w:hAnsi="Times New Roman" w:eastAsia="黑体" w:cs="Times New Roman"/>
          <w:bCs/>
          <w:kern w:val="0"/>
          <w:sz w:val="32"/>
          <w:szCs w:val="32"/>
        </w:rPr>
      </w:pPr>
      <w:bookmarkStart w:id="2" w:name="_Toc30738"/>
      <w:bookmarkStart w:id="3" w:name="_Toc2898"/>
      <w:r>
        <w:rPr>
          <w:rFonts w:hint="default" w:ascii="Times New Roman" w:hAnsi="Times New Roman" w:eastAsia="黑体" w:cs="Times New Roman"/>
          <w:bCs/>
          <w:kern w:val="0"/>
          <w:sz w:val="32"/>
          <w:szCs w:val="32"/>
        </w:rPr>
        <w:t>一、主要职能</w:t>
      </w:r>
      <w:bookmarkEnd w:id="2"/>
      <w:bookmarkEnd w:id="3"/>
    </w:p>
    <w:p w14:paraId="204E489F">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乌鲁木齐经济技术开发区（乌鲁木齐市头屯河区）房屋征收与补偿管理办公室（土地征收管理办公室）单位贯彻落实党中央、自治区党委、市委关于房屋及土地征收工作的方针政策和决策部署以及区委工作要求，在履行职责过程中坚持和加强党对房屋及土地征收工作的集中统一领导。</w:t>
      </w:r>
    </w:p>
    <w:p w14:paraId="5565E4C5">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主要工作职责：通过宣传和贯彻执行国家关于房屋征收与补偿方面的政策及法律法规，依据《国有土地上房屋征收与补偿条例》组织实施我区行政区域内的房屋与储备土地的征收与管理工作。</w:t>
      </w:r>
    </w:p>
    <w:p w14:paraId="16C3E84A">
      <w:pPr>
        <w:ind w:firstLine="640" w:firstLineChars="200"/>
        <w:outlineLvl w:val="1"/>
        <w:rPr>
          <w:rFonts w:hint="default" w:ascii="Times New Roman" w:hAnsi="Times New Roman" w:eastAsia="黑体" w:cs="Times New Roman"/>
          <w:bCs/>
          <w:kern w:val="0"/>
          <w:sz w:val="32"/>
          <w:szCs w:val="32"/>
        </w:rPr>
      </w:pPr>
      <w:bookmarkStart w:id="4" w:name="_Toc31238"/>
      <w:bookmarkStart w:id="5" w:name="_Toc1387"/>
      <w:r>
        <w:rPr>
          <w:rFonts w:hint="default" w:ascii="Times New Roman" w:hAnsi="Times New Roman" w:eastAsia="黑体" w:cs="Times New Roman"/>
          <w:bCs/>
          <w:kern w:val="0"/>
          <w:sz w:val="32"/>
          <w:szCs w:val="32"/>
        </w:rPr>
        <w:t>二、机构设置及</w:t>
      </w:r>
      <w:bookmarkEnd w:id="4"/>
      <w:r>
        <w:rPr>
          <w:rFonts w:hint="default" w:ascii="Times New Roman" w:hAnsi="Times New Roman" w:eastAsia="黑体" w:cs="Times New Roman"/>
          <w:bCs/>
          <w:kern w:val="0"/>
          <w:sz w:val="32"/>
          <w:szCs w:val="32"/>
        </w:rPr>
        <w:t>人员情况</w:t>
      </w:r>
      <w:bookmarkEnd w:id="5"/>
    </w:p>
    <w:p w14:paraId="65B085A6">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乌鲁木齐经济技术开发区（乌鲁木齐市头屯河区）房屋征收与补偿管理办公室（土地征收管理办公室）2024年度，实有人数</w:t>
      </w:r>
      <w:r>
        <w:rPr>
          <w:rFonts w:hint="default" w:ascii="Times New Roman" w:hAnsi="Times New Roman" w:eastAsia="仿宋_GB2312" w:cs="Times New Roman"/>
          <w:sz w:val="32"/>
          <w:szCs w:val="32"/>
          <w:lang w:val="en-US" w:eastAsia="zh-CN"/>
        </w:rPr>
        <w:t>32</w:t>
      </w:r>
      <w:r>
        <w:rPr>
          <w:rFonts w:hint="default" w:ascii="Times New Roman" w:hAnsi="Times New Roman" w:eastAsia="仿宋_GB2312" w:cs="Times New Roman"/>
          <w:sz w:val="32"/>
          <w:szCs w:val="32"/>
        </w:rPr>
        <w:t>人，其中：在职人员</w:t>
      </w:r>
      <w:r>
        <w:rPr>
          <w:rFonts w:hint="default" w:ascii="Times New Roman" w:hAnsi="Times New Roman" w:eastAsia="仿宋_GB2312" w:cs="Times New Roman"/>
          <w:sz w:val="32"/>
          <w:szCs w:val="32"/>
          <w:lang w:val="en-US" w:eastAsia="zh-CN"/>
        </w:rPr>
        <w:t>31</w:t>
      </w:r>
      <w:r>
        <w:rPr>
          <w:rFonts w:hint="default" w:ascii="Times New Roman" w:hAnsi="Times New Roman" w:eastAsia="仿宋_GB2312" w:cs="Times New Roman"/>
          <w:sz w:val="32"/>
          <w:szCs w:val="32"/>
        </w:rPr>
        <w:t>人</w:t>
      </w:r>
      <w:r>
        <w:rPr>
          <w:rFonts w:hint="default" w:ascii="Times New Roman" w:hAnsi="Times New Roman" w:eastAsia="仿宋_GB2312" w:cs="Times New Roman"/>
          <w:kern w:val="0"/>
          <w:sz w:val="32"/>
          <w:szCs w:val="32"/>
        </w:rPr>
        <w:t>，增加</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人；</w:t>
      </w:r>
      <w:r>
        <w:rPr>
          <w:rFonts w:hint="default" w:ascii="Times New Roman" w:hAnsi="Times New Roman" w:eastAsia="仿宋_GB2312" w:cs="Times New Roman"/>
          <w:sz w:val="32"/>
          <w:szCs w:val="32"/>
        </w:rPr>
        <w:t>离休人员</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w:t>
      </w:r>
      <w:r>
        <w:rPr>
          <w:rFonts w:hint="default" w:ascii="Times New Roman" w:hAnsi="Times New Roman" w:eastAsia="仿宋_GB2312" w:cs="Times New Roman"/>
          <w:kern w:val="0"/>
          <w:sz w:val="32"/>
          <w:szCs w:val="32"/>
          <w:lang w:eastAsia="zh-CN"/>
        </w:rPr>
        <w:t>较上年无变化</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退休人员</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人，</w:t>
      </w:r>
      <w:r>
        <w:rPr>
          <w:rFonts w:hint="default" w:ascii="Times New Roman" w:hAnsi="Times New Roman" w:eastAsia="仿宋_GB2312" w:cs="Times New Roman"/>
          <w:kern w:val="0"/>
          <w:sz w:val="32"/>
          <w:szCs w:val="32"/>
        </w:rPr>
        <w:t>增加</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人</w:t>
      </w:r>
      <w:r>
        <w:rPr>
          <w:rFonts w:hint="default" w:ascii="Times New Roman" w:hAnsi="Times New Roman" w:eastAsia="仿宋_GB2312" w:cs="Times New Roman"/>
          <w:sz w:val="32"/>
          <w:szCs w:val="32"/>
        </w:rPr>
        <w:t>。</w:t>
      </w:r>
    </w:p>
    <w:p w14:paraId="6EB2B62F">
      <w:pPr>
        <w:ind w:firstLine="640" w:firstLineChars="200"/>
        <w:rPr>
          <w:rFonts w:hint="default" w:ascii="Times New Roman" w:hAnsi="Times New Roman" w:eastAsia="仿宋_GB2312" w:cs="Times New Roman"/>
          <w:kern w:val="0"/>
          <w:sz w:val="32"/>
          <w:szCs w:val="32"/>
        </w:rPr>
        <w:sectPr>
          <w:footerReference r:id="rId3" w:type="default"/>
          <w:pgSz w:w="11906" w:h="16838"/>
          <w:pgMar w:top="1440" w:right="1800" w:bottom="1440" w:left="1800" w:header="851" w:footer="992" w:gutter="0"/>
          <w:cols w:space="720" w:num="1"/>
          <w:docGrid w:type="lines" w:linePitch="312" w:charSpace="0"/>
        </w:sectPr>
      </w:pPr>
      <w:r>
        <w:rPr>
          <w:rFonts w:hint="default" w:ascii="Times New Roman" w:hAnsi="Times New Roman" w:eastAsia="仿宋_GB2312" w:cs="Times New Roman"/>
          <w:bCs/>
          <w:kern w:val="0"/>
          <w:sz w:val="32"/>
          <w:szCs w:val="32"/>
          <w:lang w:eastAsia="zh-CN"/>
        </w:rPr>
        <w:t>乌鲁木齐经济技术开发区（乌鲁木齐市头屯河区）房屋征收与补偿管理办公室（土地征收管理办公室）</w:t>
      </w:r>
      <w:r>
        <w:rPr>
          <w:rFonts w:hint="default" w:ascii="Times New Roman" w:hAnsi="Times New Roman" w:eastAsia="仿宋_GB2312" w:cs="Times New Roman"/>
          <w:bCs/>
          <w:kern w:val="0"/>
          <w:sz w:val="32"/>
          <w:szCs w:val="32"/>
        </w:rPr>
        <w:t>无下属预算单位，下设</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bCs/>
          <w:kern w:val="0"/>
          <w:sz w:val="32"/>
          <w:szCs w:val="32"/>
        </w:rPr>
        <w:t>个科室，分别是：</w:t>
      </w:r>
      <w:r>
        <w:rPr>
          <w:rFonts w:hint="default" w:ascii="Times New Roman" w:hAnsi="Times New Roman" w:eastAsia="仿宋_GB2312" w:cs="Times New Roman"/>
          <w:kern w:val="0"/>
          <w:sz w:val="32"/>
          <w:szCs w:val="32"/>
          <w:lang w:eastAsia="zh-CN"/>
        </w:rPr>
        <w:t>综合科、法制监督科、房屋征收补偿科、拆除工程管理科和土地征收补偿科</w:t>
      </w:r>
      <w:r>
        <w:rPr>
          <w:rFonts w:hint="default" w:ascii="Times New Roman" w:hAnsi="Times New Roman" w:eastAsia="仿宋_GB2312" w:cs="Times New Roman"/>
          <w:kern w:val="0"/>
          <w:sz w:val="32"/>
          <w:szCs w:val="32"/>
        </w:rPr>
        <w:t>。</w:t>
      </w:r>
    </w:p>
    <w:p w14:paraId="5BFC2ACC">
      <w:pPr>
        <w:jc w:val="center"/>
        <w:outlineLvl w:val="0"/>
        <w:rPr>
          <w:rFonts w:hint="default" w:ascii="Times New Roman" w:hAnsi="Times New Roman" w:eastAsia="黑体" w:cs="Times New Roman"/>
          <w:sz w:val="32"/>
          <w:szCs w:val="32"/>
        </w:rPr>
      </w:pPr>
      <w:bookmarkStart w:id="6" w:name="_Toc3092"/>
      <w:bookmarkStart w:id="7" w:name="_Toc7559"/>
      <w:r>
        <w:rPr>
          <w:rFonts w:hint="default" w:ascii="Times New Roman" w:hAnsi="Times New Roman" w:eastAsia="黑体" w:cs="Times New Roman"/>
          <w:sz w:val="32"/>
          <w:szCs w:val="32"/>
        </w:rPr>
        <w:t xml:space="preserve">第二部分 </w:t>
      </w:r>
      <w:r>
        <w:rPr>
          <w:rFonts w:hint="eastAsia" w:eastAsia="黑体" w:cs="Times New Roman"/>
          <w:sz w:val="32"/>
          <w:szCs w:val="32"/>
          <w:lang w:val="en-US" w:eastAsia="zh-CN"/>
        </w:rPr>
        <w:t>部门</w:t>
      </w:r>
      <w:r>
        <w:rPr>
          <w:rFonts w:hint="default" w:ascii="Times New Roman" w:hAnsi="Times New Roman" w:eastAsia="黑体" w:cs="Times New Roman"/>
          <w:sz w:val="32"/>
          <w:szCs w:val="32"/>
        </w:rPr>
        <w:t>决算情况说明</w:t>
      </w:r>
      <w:bookmarkEnd w:id="6"/>
      <w:bookmarkEnd w:id="7"/>
    </w:p>
    <w:p w14:paraId="4AC32202">
      <w:pPr>
        <w:ind w:firstLine="640" w:firstLineChars="200"/>
        <w:outlineLvl w:val="1"/>
        <w:rPr>
          <w:rFonts w:hint="default" w:ascii="Times New Roman" w:hAnsi="Times New Roman" w:eastAsia="黑体" w:cs="Times New Roman"/>
          <w:bCs/>
          <w:kern w:val="0"/>
          <w:sz w:val="32"/>
          <w:szCs w:val="32"/>
        </w:rPr>
      </w:pPr>
      <w:bookmarkStart w:id="8" w:name="_Toc6321"/>
      <w:bookmarkStart w:id="9" w:name="_Toc12566"/>
      <w:r>
        <w:rPr>
          <w:rFonts w:hint="default" w:ascii="Times New Roman" w:hAnsi="Times New Roman" w:eastAsia="黑体" w:cs="Times New Roman"/>
          <w:bCs/>
          <w:kern w:val="0"/>
          <w:sz w:val="32"/>
          <w:szCs w:val="32"/>
        </w:rPr>
        <w:t>一、收入支出决算总体情况说明</w:t>
      </w:r>
      <w:bookmarkEnd w:id="8"/>
      <w:bookmarkEnd w:id="9"/>
    </w:p>
    <w:p w14:paraId="59E34397">
      <w:pPr>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2024年度收入总计240,252.15万元，其中：本年收入合计239,498.80万元，使用非财政拨款结余（含专用结余）</w:t>
      </w:r>
      <w:r>
        <w:rPr>
          <w:rFonts w:hint="default" w:ascii="Times New Roman" w:hAnsi="Times New Roman" w:eastAsia="仿宋_GB2312" w:cs="Times New Roman"/>
          <w:b w:val="0"/>
          <w:bCs w:val="0"/>
          <w:sz w:val="32"/>
          <w:szCs w:val="32"/>
          <w:lang w:val="en-US" w:eastAsia="zh-CN"/>
        </w:rPr>
        <w:t>0.00</w:t>
      </w:r>
      <w:r>
        <w:rPr>
          <w:rFonts w:hint="default" w:ascii="Times New Roman" w:hAnsi="Times New Roman" w:eastAsia="仿宋_GB2312" w:cs="Times New Roman"/>
          <w:b w:val="0"/>
          <w:bCs w:val="0"/>
          <w:sz w:val="32"/>
          <w:szCs w:val="32"/>
        </w:rPr>
        <w:t>万元，年初结转和结余</w:t>
      </w:r>
      <w:r>
        <w:rPr>
          <w:rFonts w:hint="default" w:ascii="Times New Roman" w:hAnsi="Times New Roman" w:eastAsia="仿宋_GB2312" w:cs="Times New Roman"/>
          <w:b w:val="0"/>
          <w:bCs w:val="0"/>
          <w:sz w:val="32"/>
          <w:szCs w:val="32"/>
          <w:lang w:val="en-US" w:eastAsia="zh-CN"/>
        </w:rPr>
        <w:t>753.35</w:t>
      </w:r>
      <w:r>
        <w:rPr>
          <w:rFonts w:hint="default" w:ascii="Times New Roman" w:hAnsi="Times New Roman" w:eastAsia="仿宋_GB2312" w:cs="Times New Roman"/>
          <w:b w:val="0"/>
          <w:bCs w:val="0"/>
          <w:sz w:val="32"/>
          <w:szCs w:val="32"/>
        </w:rPr>
        <w:t>万元。</w:t>
      </w:r>
    </w:p>
    <w:p w14:paraId="3A743FEE">
      <w:pPr>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2024年度支出总计240,252.15万元，其中：本年支出合计239,500.70万元，结余分配</w:t>
      </w:r>
      <w:r>
        <w:rPr>
          <w:rFonts w:hint="default" w:ascii="Times New Roman" w:hAnsi="Times New Roman" w:eastAsia="仿宋_GB2312" w:cs="Times New Roman"/>
          <w:b w:val="0"/>
          <w:bCs w:val="0"/>
          <w:sz w:val="32"/>
          <w:szCs w:val="32"/>
          <w:lang w:val="en-US" w:eastAsia="zh-CN"/>
        </w:rPr>
        <w:t>0.00</w:t>
      </w:r>
      <w:r>
        <w:rPr>
          <w:rFonts w:hint="default" w:ascii="Times New Roman" w:hAnsi="Times New Roman" w:eastAsia="仿宋_GB2312" w:cs="Times New Roman"/>
          <w:b w:val="0"/>
          <w:bCs w:val="0"/>
          <w:sz w:val="32"/>
          <w:szCs w:val="32"/>
        </w:rPr>
        <w:t>万元，年末结转和结余</w:t>
      </w:r>
      <w:r>
        <w:rPr>
          <w:rFonts w:hint="default" w:ascii="Times New Roman" w:hAnsi="Times New Roman" w:eastAsia="仿宋_GB2312" w:cs="Times New Roman"/>
          <w:b w:val="0"/>
          <w:bCs w:val="0"/>
          <w:sz w:val="32"/>
          <w:szCs w:val="32"/>
          <w:lang w:val="en-US" w:eastAsia="zh-CN"/>
        </w:rPr>
        <w:t>751.45</w:t>
      </w:r>
      <w:r>
        <w:rPr>
          <w:rFonts w:hint="default" w:ascii="Times New Roman" w:hAnsi="Times New Roman" w:eastAsia="仿宋_GB2312" w:cs="Times New Roman"/>
          <w:b w:val="0"/>
          <w:bCs w:val="0"/>
          <w:sz w:val="32"/>
          <w:szCs w:val="32"/>
        </w:rPr>
        <w:t>万元。</w:t>
      </w:r>
    </w:p>
    <w:p w14:paraId="382FBC35">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kern w:val="0"/>
          <w:sz w:val="32"/>
          <w:szCs w:val="32"/>
        </w:rPr>
        <w:t>收入支出总体</w:t>
      </w:r>
      <w:r>
        <w:rPr>
          <w:rFonts w:hint="default" w:ascii="Times New Roman" w:hAnsi="Times New Roman" w:eastAsia="仿宋_GB2312" w:cs="Times New Roman"/>
          <w:b w:val="0"/>
          <w:bCs w:val="0"/>
          <w:sz w:val="32"/>
          <w:szCs w:val="32"/>
        </w:rPr>
        <w:t>与上年相比，增加31,568.78万元，增长</w:t>
      </w:r>
      <w:r>
        <w:rPr>
          <w:rFonts w:hint="default" w:ascii="Times New Roman" w:hAnsi="Times New Roman" w:eastAsia="仿宋_GB2312" w:cs="Times New Roman"/>
          <w:b w:val="0"/>
          <w:bCs w:val="0"/>
          <w:sz w:val="32"/>
          <w:szCs w:val="32"/>
          <w:lang w:val="en-US" w:eastAsia="zh-CN"/>
        </w:rPr>
        <w:t>15.13</w:t>
      </w:r>
      <w:r>
        <w:rPr>
          <w:rFonts w:hint="default" w:ascii="Times New Roman" w:hAnsi="Times New Roman" w:eastAsia="仿宋_GB2312" w:cs="Times New Roman"/>
          <w:b w:val="0"/>
          <w:bCs w:val="0"/>
          <w:sz w:val="32"/>
          <w:szCs w:val="32"/>
        </w:rPr>
        <w:t>%，主要原因是：</w:t>
      </w:r>
      <w:r>
        <w:rPr>
          <w:rFonts w:hint="default" w:ascii="Times New Roman" w:hAnsi="Times New Roman" w:eastAsia="仿宋_GB2312" w:cs="Times New Roman"/>
          <w:b w:val="0"/>
          <w:bCs w:val="0"/>
          <w:sz w:val="32"/>
          <w:szCs w:val="32"/>
          <w:highlight w:val="none"/>
          <w:lang w:eastAsia="zh-CN"/>
        </w:rPr>
        <w:t>支付了老城区改造项目政府购买服务费及美丽家园自建房改造项目、</w:t>
      </w:r>
      <w:r>
        <w:rPr>
          <w:rFonts w:hint="default" w:ascii="Times New Roman" w:hAnsi="Times New Roman" w:eastAsia="仿宋_GB2312" w:cs="Times New Roman"/>
          <w:b w:val="0"/>
          <w:bCs w:val="0"/>
          <w:sz w:val="32"/>
          <w:szCs w:val="32"/>
          <w:highlight w:val="none"/>
          <w:lang w:val="en-US" w:eastAsia="zh-CN"/>
        </w:rPr>
        <w:t>S106家属院征收项目、2018</w:t>
      </w:r>
      <w:r>
        <w:rPr>
          <w:rFonts w:hint="default" w:ascii="Times New Roman" w:hAnsi="Times New Roman" w:eastAsia="仿宋_GB2312" w:cs="Times New Roman"/>
          <w:b w:val="0"/>
          <w:sz w:val="32"/>
          <w:szCs w:val="32"/>
          <w:highlight w:val="none"/>
          <w:lang w:val="en-US" w:eastAsia="zh-CN"/>
        </w:rPr>
        <w:t>年棚改市政配套设施建设及河南庄村片区土地储备征收项目征收补偿款</w:t>
      </w:r>
      <w:r>
        <w:rPr>
          <w:rFonts w:hint="default" w:ascii="Times New Roman" w:hAnsi="Times New Roman" w:eastAsia="仿宋_GB2312" w:cs="Times New Roman"/>
          <w:sz w:val="32"/>
          <w:szCs w:val="32"/>
        </w:rPr>
        <w:t>。</w:t>
      </w:r>
    </w:p>
    <w:p w14:paraId="103A5565">
      <w:pPr>
        <w:ind w:firstLine="640" w:firstLineChars="200"/>
        <w:outlineLvl w:val="1"/>
        <w:rPr>
          <w:rFonts w:hint="default" w:ascii="Times New Roman" w:hAnsi="Times New Roman" w:eastAsia="黑体" w:cs="Times New Roman"/>
          <w:bCs/>
          <w:kern w:val="0"/>
          <w:sz w:val="32"/>
          <w:szCs w:val="32"/>
        </w:rPr>
      </w:pPr>
      <w:bookmarkStart w:id="10" w:name="_Toc1979"/>
      <w:bookmarkStart w:id="11" w:name="_Toc6311"/>
      <w:r>
        <w:rPr>
          <w:rFonts w:hint="default" w:ascii="Times New Roman" w:hAnsi="Times New Roman" w:eastAsia="黑体" w:cs="Times New Roman"/>
          <w:bCs/>
          <w:kern w:val="0"/>
          <w:sz w:val="32"/>
          <w:szCs w:val="32"/>
        </w:rPr>
        <w:t>二、收入决算情况说明</w:t>
      </w:r>
      <w:bookmarkEnd w:id="10"/>
      <w:bookmarkEnd w:id="11"/>
    </w:p>
    <w:p w14:paraId="5353FB96">
      <w:pPr>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本年收入239,498.80万元，其中：财政拨款收入238,127.14万元，占</w:t>
      </w:r>
      <w:r>
        <w:rPr>
          <w:rFonts w:hint="default" w:ascii="Times New Roman" w:hAnsi="Times New Roman" w:eastAsia="仿宋_GB2312" w:cs="Times New Roman"/>
          <w:b w:val="0"/>
          <w:bCs w:val="0"/>
          <w:sz w:val="32"/>
          <w:szCs w:val="32"/>
          <w:lang w:val="en-US" w:eastAsia="zh-CN"/>
        </w:rPr>
        <w:t>99.43</w:t>
      </w:r>
      <w:r>
        <w:rPr>
          <w:rFonts w:hint="default" w:ascii="Times New Roman" w:hAnsi="Times New Roman" w:eastAsia="仿宋_GB2312" w:cs="Times New Roman"/>
          <w:b w:val="0"/>
          <w:bCs w:val="0"/>
          <w:sz w:val="32"/>
          <w:szCs w:val="32"/>
        </w:rPr>
        <w:t>%；上级补助收入</w:t>
      </w:r>
      <w:r>
        <w:rPr>
          <w:rFonts w:hint="default" w:ascii="Times New Roman" w:hAnsi="Times New Roman" w:eastAsia="仿宋_GB2312" w:cs="Times New Roman"/>
          <w:b w:val="0"/>
          <w:bCs w:val="0"/>
          <w:sz w:val="32"/>
          <w:szCs w:val="32"/>
          <w:lang w:val="en-US" w:eastAsia="zh-CN"/>
        </w:rPr>
        <w:t>0.00</w:t>
      </w:r>
      <w:r>
        <w:rPr>
          <w:rFonts w:hint="default" w:ascii="Times New Roman" w:hAnsi="Times New Roman" w:eastAsia="仿宋_GB2312" w:cs="Times New Roman"/>
          <w:b w:val="0"/>
          <w:bCs w:val="0"/>
          <w:sz w:val="32"/>
          <w:szCs w:val="32"/>
        </w:rPr>
        <w:t>万元，占</w:t>
      </w:r>
      <w:r>
        <w:rPr>
          <w:rFonts w:hint="default" w:ascii="Times New Roman" w:hAnsi="Times New Roman" w:eastAsia="仿宋_GB2312" w:cs="Times New Roman"/>
          <w:b w:val="0"/>
          <w:bCs w:val="0"/>
          <w:sz w:val="32"/>
          <w:szCs w:val="32"/>
          <w:lang w:val="en-US" w:eastAsia="zh-CN"/>
        </w:rPr>
        <w:t>0.00</w:t>
      </w:r>
      <w:r>
        <w:rPr>
          <w:rFonts w:hint="default" w:ascii="Times New Roman" w:hAnsi="Times New Roman" w:eastAsia="仿宋_GB2312" w:cs="Times New Roman"/>
          <w:b w:val="0"/>
          <w:bCs w:val="0"/>
          <w:sz w:val="32"/>
          <w:szCs w:val="32"/>
        </w:rPr>
        <w:t>%；事业收入</w:t>
      </w:r>
      <w:r>
        <w:rPr>
          <w:rFonts w:hint="default" w:ascii="Times New Roman" w:hAnsi="Times New Roman" w:eastAsia="仿宋_GB2312" w:cs="Times New Roman"/>
          <w:b w:val="0"/>
          <w:bCs w:val="0"/>
          <w:sz w:val="32"/>
          <w:szCs w:val="32"/>
          <w:lang w:val="en-US" w:eastAsia="zh-CN"/>
        </w:rPr>
        <w:t>0.00</w:t>
      </w:r>
      <w:r>
        <w:rPr>
          <w:rFonts w:hint="default" w:ascii="Times New Roman" w:hAnsi="Times New Roman" w:eastAsia="仿宋_GB2312" w:cs="Times New Roman"/>
          <w:b w:val="0"/>
          <w:bCs w:val="0"/>
          <w:sz w:val="32"/>
          <w:szCs w:val="32"/>
        </w:rPr>
        <w:t>万元，占</w:t>
      </w:r>
      <w:r>
        <w:rPr>
          <w:rFonts w:hint="default" w:ascii="Times New Roman" w:hAnsi="Times New Roman" w:eastAsia="仿宋_GB2312" w:cs="Times New Roman"/>
          <w:b w:val="0"/>
          <w:bCs w:val="0"/>
          <w:sz w:val="32"/>
          <w:szCs w:val="32"/>
          <w:lang w:val="en-US" w:eastAsia="zh-CN"/>
        </w:rPr>
        <w:t>0.00</w:t>
      </w:r>
      <w:r>
        <w:rPr>
          <w:rFonts w:hint="default" w:ascii="Times New Roman" w:hAnsi="Times New Roman" w:eastAsia="仿宋_GB2312" w:cs="Times New Roman"/>
          <w:b w:val="0"/>
          <w:bCs w:val="0"/>
          <w:sz w:val="32"/>
          <w:szCs w:val="32"/>
        </w:rPr>
        <w:t>%；经营收入</w:t>
      </w:r>
      <w:r>
        <w:rPr>
          <w:rFonts w:hint="default" w:ascii="Times New Roman" w:hAnsi="Times New Roman" w:eastAsia="仿宋_GB2312" w:cs="Times New Roman"/>
          <w:b w:val="0"/>
          <w:bCs w:val="0"/>
          <w:sz w:val="32"/>
          <w:szCs w:val="32"/>
          <w:lang w:val="en-US" w:eastAsia="zh-CN"/>
        </w:rPr>
        <w:t>0.00</w:t>
      </w:r>
      <w:r>
        <w:rPr>
          <w:rFonts w:hint="default" w:ascii="Times New Roman" w:hAnsi="Times New Roman" w:eastAsia="仿宋_GB2312" w:cs="Times New Roman"/>
          <w:b w:val="0"/>
          <w:bCs w:val="0"/>
          <w:sz w:val="32"/>
          <w:szCs w:val="32"/>
        </w:rPr>
        <w:t>万元，占</w:t>
      </w:r>
      <w:r>
        <w:rPr>
          <w:rFonts w:hint="default" w:ascii="Times New Roman" w:hAnsi="Times New Roman" w:eastAsia="仿宋_GB2312" w:cs="Times New Roman"/>
          <w:b w:val="0"/>
          <w:bCs w:val="0"/>
          <w:sz w:val="32"/>
          <w:szCs w:val="32"/>
          <w:lang w:val="en-US" w:eastAsia="zh-CN"/>
        </w:rPr>
        <w:t>0.00</w:t>
      </w:r>
      <w:r>
        <w:rPr>
          <w:rFonts w:hint="default" w:ascii="Times New Roman" w:hAnsi="Times New Roman" w:eastAsia="仿宋_GB2312" w:cs="Times New Roman"/>
          <w:b w:val="0"/>
          <w:bCs w:val="0"/>
          <w:sz w:val="32"/>
          <w:szCs w:val="32"/>
        </w:rPr>
        <w:t>%；附属单位上缴收入</w:t>
      </w:r>
      <w:r>
        <w:rPr>
          <w:rFonts w:hint="default" w:ascii="Times New Roman" w:hAnsi="Times New Roman" w:eastAsia="仿宋_GB2312" w:cs="Times New Roman"/>
          <w:b w:val="0"/>
          <w:bCs w:val="0"/>
          <w:sz w:val="32"/>
          <w:szCs w:val="32"/>
          <w:lang w:val="en-US" w:eastAsia="zh-CN"/>
        </w:rPr>
        <w:t>0.00</w:t>
      </w:r>
      <w:r>
        <w:rPr>
          <w:rFonts w:hint="default" w:ascii="Times New Roman" w:hAnsi="Times New Roman" w:eastAsia="仿宋_GB2312" w:cs="Times New Roman"/>
          <w:b w:val="0"/>
          <w:bCs w:val="0"/>
          <w:sz w:val="32"/>
          <w:szCs w:val="32"/>
        </w:rPr>
        <w:t>万元，占</w:t>
      </w:r>
      <w:r>
        <w:rPr>
          <w:rFonts w:hint="default" w:ascii="Times New Roman" w:hAnsi="Times New Roman" w:eastAsia="仿宋_GB2312" w:cs="Times New Roman"/>
          <w:b w:val="0"/>
          <w:bCs w:val="0"/>
          <w:sz w:val="32"/>
          <w:szCs w:val="32"/>
          <w:lang w:val="en-US" w:eastAsia="zh-CN"/>
        </w:rPr>
        <w:t>0.00</w:t>
      </w:r>
      <w:r>
        <w:rPr>
          <w:rFonts w:hint="default" w:ascii="Times New Roman" w:hAnsi="Times New Roman" w:eastAsia="仿宋_GB2312" w:cs="Times New Roman"/>
          <w:b w:val="0"/>
          <w:bCs w:val="0"/>
          <w:sz w:val="32"/>
          <w:szCs w:val="32"/>
        </w:rPr>
        <w:t>%；其他收入1,371.6</w:t>
      </w:r>
      <w:r>
        <w:rPr>
          <w:rFonts w:hint="eastAsia" w:eastAsia="仿宋_GB2312" w:cs="Times New Roman"/>
          <w:b w:val="0"/>
          <w:bCs w:val="0"/>
          <w:sz w:val="32"/>
          <w:szCs w:val="32"/>
          <w:lang w:val="en-US" w:eastAsia="zh-CN"/>
        </w:rPr>
        <w:t>6</w:t>
      </w:r>
      <w:r>
        <w:rPr>
          <w:rFonts w:hint="default" w:ascii="Times New Roman" w:hAnsi="Times New Roman" w:eastAsia="仿宋_GB2312" w:cs="Times New Roman"/>
          <w:b w:val="0"/>
          <w:bCs w:val="0"/>
          <w:sz w:val="32"/>
          <w:szCs w:val="32"/>
        </w:rPr>
        <w:t>万元，占</w:t>
      </w:r>
      <w:r>
        <w:rPr>
          <w:rFonts w:hint="default" w:ascii="Times New Roman" w:hAnsi="Times New Roman" w:eastAsia="仿宋_GB2312" w:cs="Times New Roman"/>
          <w:b w:val="0"/>
          <w:bCs w:val="0"/>
          <w:sz w:val="32"/>
          <w:szCs w:val="32"/>
          <w:lang w:val="en-US" w:eastAsia="zh-CN"/>
        </w:rPr>
        <w:t>0.57</w:t>
      </w:r>
      <w:r>
        <w:rPr>
          <w:rFonts w:hint="default" w:ascii="Times New Roman" w:hAnsi="Times New Roman" w:eastAsia="仿宋_GB2312" w:cs="Times New Roman"/>
          <w:b w:val="0"/>
          <w:bCs w:val="0"/>
          <w:sz w:val="32"/>
          <w:szCs w:val="32"/>
        </w:rPr>
        <w:t>%。</w:t>
      </w:r>
    </w:p>
    <w:p w14:paraId="34226953">
      <w:pPr>
        <w:ind w:firstLine="640" w:firstLineChars="200"/>
        <w:outlineLvl w:val="1"/>
        <w:rPr>
          <w:rFonts w:hint="default" w:ascii="Times New Roman" w:hAnsi="Times New Roman" w:eastAsia="黑体" w:cs="Times New Roman"/>
          <w:bCs/>
          <w:kern w:val="0"/>
          <w:sz w:val="32"/>
          <w:szCs w:val="32"/>
        </w:rPr>
      </w:pPr>
      <w:bookmarkStart w:id="12" w:name="_Toc20629"/>
      <w:bookmarkStart w:id="13" w:name="_Toc27961"/>
      <w:r>
        <w:rPr>
          <w:rFonts w:hint="default" w:ascii="Times New Roman" w:hAnsi="Times New Roman" w:eastAsia="黑体" w:cs="Times New Roman"/>
          <w:bCs/>
          <w:kern w:val="0"/>
          <w:sz w:val="32"/>
          <w:szCs w:val="32"/>
        </w:rPr>
        <w:t>三、支出决算情况说明</w:t>
      </w:r>
      <w:bookmarkEnd w:id="12"/>
      <w:bookmarkEnd w:id="13"/>
    </w:p>
    <w:p w14:paraId="7135FB39">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rPr>
        <w:t>本年支出239,500.70万元，其中：基本支出</w:t>
      </w:r>
      <w:r>
        <w:rPr>
          <w:rFonts w:hint="default" w:ascii="Times New Roman" w:hAnsi="Times New Roman" w:eastAsia="仿宋_GB2312" w:cs="Times New Roman"/>
          <w:b w:val="0"/>
          <w:bCs w:val="0"/>
          <w:sz w:val="32"/>
          <w:szCs w:val="32"/>
          <w:lang w:val="en-US" w:eastAsia="zh-CN"/>
        </w:rPr>
        <w:t>589.09</w:t>
      </w:r>
      <w:r>
        <w:rPr>
          <w:rFonts w:hint="default" w:ascii="Times New Roman" w:hAnsi="Times New Roman" w:eastAsia="仿宋_GB2312" w:cs="Times New Roman"/>
          <w:b w:val="0"/>
          <w:bCs w:val="0"/>
          <w:sz w:val="32"/>
          <w:szCs w:val="32"/>
        </w:rPr>
        <w:t>万元，占</w:t>
      </w:r>
      <w:r>
        <w:rPr>
          <w:rFonts w:hint="default" w:ascii="Times New Roman" w:hAnsi="Times New Roman" w:eastAsia="仿宋_GB2312" w:cs="Times New Roman"/>
          <w:b w:val="0"/>
          <w:bCs w:val="0"/>
          <w:sz w:val="32"/>
          <w:szCs w:val="32"/>
          <w:lang w:val="en-US" w:eastAsia="zh-CN"/>
        </w:rPr>
        <w:t>0.25</w:t>
      </w:r>
      <w:r>
        <w:rPr>
          <w:rFonts w:hint="default" w:ascii="Times New Roman" w:hAnsi="Times New Roman" w:eastAsia="仿宋_GB2312" w:cs="Times New Roman"/>
          <w:b w:val="0"/>
          <w:bCs w:val="0"/>
          <w:sz w:val="32"/>
          <w:szCs w:val="32"/>
        </w:rPr>
        <w:t>%；项目支出238,911.61万元，占</w:t>
      </w:r>
      <w:r>
        <w:rPr>
          <w:rFonts w:hint="default" w:ascii="Times New Roman" w:hAnsi="Times New Roman" w:eastAsia="仿宋_GB2312" w:cs="Times New Roman"/>
          <w:b w:val="0"/>
          <w:bCs w:val="0"/>
          <w:sz w:val="32"/>
          <w:szCs w:val="32"/>
          <w:lang w:val="en-US" w:eastAsia="zh-CN"/>
        </w:rPr>
        <w:t>99.75</w:t>
      </w:r>
      <w:r>
        <w:rPr>
          <w:rFonts w:hint="default" w:ascii="Times New Roman" w:hAnsi="Times New Roman" w:eastAsia="仿宋_GB2312" w:cs="Times New Roman"/>
          <w:b w:val="0"/>
          <w:bCs w:val="0"/>
          <w:sz w:val="32"/>
          <w:szCs w:val="32"/>
        </w:rPr>
        <w:t>%；上缴上级支出</w:t>
      </w:r>
      <w:r>
        <w:rPr>
          <w:rFonts w:hint="default" w:ascii="Times New Roman" w:hAnsi="Times New Roman" w:eastAsia="仿宋_GB2312" w:cs="Times New Roman"/>
          <w:b w:val="0"/>
          <w:bCs w:val="0"/>
          <w:sz w:val="32"/>
          <w:szCs w:val="32"/>
          <w:lang w:val="en-US" w:eastAsia="zh-CN"/>
        </w:rPr>
        <w:t>0.00</w:t>
      </w:r>
      <w:r>
        <w:rPr>
          <w:rFonts w:hint="default" w:ascii="Times New Roman" w:hAnsi="Times New Roman" w:eastAsia="仿宋_GB2312" w:cs="Times New Roman"/>
          <w:b w:val="0"/>
          <w:bCs w:val="0"/>
          <w:sz w:val="32"/>
          <w:szCs w:val="32"/>
        </w:rPr>
        <w:t>万元，占</w:t>
      </w:r>
      <w:r>
        <w:rPr>
          <w:rFonts w:hint="default" w:ascii="Times New Roman" w:hAnsi="Times New Roman" w:eastAsia="仿宋_GB2312" w:cs="Times New Roman"/>
          <w:b w:val="0"/>
          <w:bCs w:val="0"/>
          <w:sz w:val="32"/>
          <w:szCs w:val="32"/>
          <w:lang w:val="en-US" w:eastAsia="zh-CN"/>
        </w:rPr>
        <w:t>0.00</w:t>
      </w:r>
      <w:r>
        <w:rPr>
          <w:rFonts w:hint="default" w:ascii="Times New Roman" w:hAnsi="Times New Roman" w:eastAsia="仿宋_GB2312" w:cs="Times New Roman"/>
          <w:b w:val="0"/>
          <w:bCs w:val="0"/>
          <w:sz w:val="32"/>
          <w:szCs w:val="32"/>
        </w:rPr>
        <w:t>%；经营支出</w:t>
      </w:r>
      <w:r>
        <w:rPr>
          <w:rFonts w:hint="default" w:ascii="Times New Roman" w:hAnsi="Times New Roman" w:eastAsia="仿宋_GB2312" w:cs="Times New Roman"/>
          <w:b w:val="0"/>
          <w:bCs w:val="0"/>
          <w:sz w:val="32"/>
          <w:szCs w:val="32"/>
          <w:lang w:val="en-US" w:eastAsia="zh-CN"/>
        </w:rPr>
        <w:t>0.00</w:t>
      </w:r>
      <w:r>
        <w:rPr>
          <w:rFonts w:hint="default" w:ascii="Times New Roman" w:hAnsi="Times New Roman" w:eastAsia="仿宋_GB2312" w:cs="Times New Roman"/>
          <w:b w:val="0"/>
          <w:bCs w:val="0"/>
          <w:sz w:val="32"/>
          <w:szCs w:val="32"/>
        </w:rPr>
        <w:t>万元，占</w:t>
      </w:r>
      <w:r>
        <w:rPr>
          <w:rFonts w:hint="default" w:ascii="Times New Roman" w:hAnsi="Times New Roman" w:eastAsia="仿宋_GB2312" w:cs="Times New Roman"/>
          <w:sz w:val="32"/>
          <w:szCs w:val="32"/>
          <w:lang w:val="en-US" w:eastAsia="zh-CN"/>
        </w:rPr>
        <w:t>0.00</w:t>
      </w:r>
      <w:r>
        <w:rPr>
          <w:rFonts w:hint="default" w:ascii="Times New Roman" w:hAnsi="Times New Roman" w:eastAsia="仿宋_GB2312" w:cs="Times New Roman"/>
          <w:sz w:val="32"/>
          <w:szCs w:val="32"/>
        </w:rPr>
        <w:t>%；对附属单位补助支出</w:t>
      </w:r>
      <w:r>
        <w:rPr>
          <w:rFonts w:hint="default" w:ascii="Times New Roman" w:hAnsi="Times New Roman" w:eastAsia="仿宋_GB2312" w:cs="Times New Roman"/>
          <w:sz w:val="32"/>
          <w:szCs w:val="32"/>
          <w:lang w:val="en-US" w:eastAsia="zh-CN"/>
        </w:rPr>
        <w:t>0.00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0.00</w:t>
      </w:r>
      <w:r>
        <w:rPr>
          <w:rFonts w:hint="default" w:ascii="Times New Roman" w:hAnsi="Times New Roman" w:eastAsia="仿宋_GB2312" w:cs="Times New Roman"/>
          <w:sz w:val="32"/>
          <w:szCs w:val="32"/>
        </w:rPr>
        <w:t>%。</w:t>
      </w:r>
    </w:p>
    <w:p w14:paraId="7A9F9CCD">
      <w:pPr>
        <w:ind w:firstLine="640" w:firstLineChars="200"/>
        <w:outlineLvl w:val="1"/>
        <w:rPr>
          <w:rFonts w:hint="default" w:ascii="Times New Roman" w:hAnsi="Times New Roman" w:eastAsia="黑体" w:cs="Times New Roman"/>
          <w:bCs/>
          <w:kern w:val="0"/>
          <w:sz w:val="32"/>
          <w:szCs w:val="32"/>
        </w:rPr>
      </w:pPr>
      <w:bookmarkStart w:id="14" w:name="_Toc4393"/>
      <w:bookmarkStart w:id="15" w:name="_Toc7371"/>
      <w:r>
        <w:rPr>
          <w:rFonts w:hint="default" w:ascii="Times New Roman" w:hAnsi="Times New Roman" w:eastAsia="黑体" w:cs="Times New Roman"/>
          <w:bCs/>
          <w:kern w:val="0"/>
          <w:sz w:val="32"/>
          <w:szCs w:val="32"/>
        </w:rPr>
        <w:t>四、财政拨款收入支出决算总体情况说明</w:t>
      </w:r>
      <w:bookmarkEnd w:id="14"/>
      <w:bookmarkEnd w:id="15"/>
    </w:p>
    <w:p w14:paraId="20B9FEF9">
      <w:pPr>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2024年度财政拨款收入总计238,127.14万元，其中：年初财政拨款结转和结余</w:t>
      </w:r>
      <w:r>
        <w:rPr>
          <w:rFonts w:hint="default" w:ascii="Times New Roman" w:hAnsi="Times New Roman" w:eastAsia="仿宋_GB2312" w:cs="Times New Roman"/>
          <w:b w:val="0"/>
          <w:bCs w:val="0"/>
          <w:sz w:val="32"/>
          <w:szCs w:val="32"/>
          <w:lang w:val="en-US" w:eastAsia="zh-CN"/>
        </w:rPr>
        <w:t>0.00</w:t>
      </w:r>
      <w:r>
        <w:rPr>
          <w:rFonts w:hint="default" w:ascii="Times New Roman" w:hAnsi="Times New Roman" w:eastAsia="仿宋_GB2312" w:cs="Times New Roman"/>
          <w:b w:val="0"/>
          <w:bCs w:val="0"/>
          <w:sz w:val="32"/>
          <w:szCs w:val="32"/>
        </w:rPr>
        <w:t>万元，本年财政拨款收入238,127.14万元。财政拨款支出总计238,127.14万元，其中：年末财政拨款结转和结余</w:t>
      </w:r>
      <w:r>
        <w:rPr>
          <w:rFonts w:hint="default" w:ascii="Times New Roman" w:hAnsi="Times New Roman" w:eastAsia="仿宋_GB2312" w:cs="Times New Roman"/>
          <w:b w:val="0"/>
          <w:bCs w:val="0"/>
          <w:sz w:val="32"/>
          <w:szCs w:val="32"/>
          <w:lang w:val="en-US" w:eastAsia="zh-CN"/>
        </w:rPr>
        <w:t>0.00</w:t>
      </w:r>
      <w:r>
        <w:rPr>
          <w:rFonts w:hint="default" w:ascii="Times New Roman" w:hAnsi="Times New Roman" w:eastAsia="仿宋_GB2312" w:cs="Times New Roman"/>
          <w:b w:val="0"/>
          <w:bCs w:val="0"/>
          <w:sz w:val="32"/>
          <w:szCs w:val="32"/>
        </w:rPr>
        <w:t>万元，本年财政拨款支出238,127.14万元。</w:t>
      </w:r>
    </w:p>
    <w:p w14:paraId="700582C7">
      <w:pPr>
        <w:widowControl/>
        <w:spacing w:before="0" w:beforeLines="0" w:beforeAutospacing="0" w:after="0" w:afterLines="0" w:afterAutospacing="0" w:line="240" w:lineRule="auto"/>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kern w:val="0"/>
          <w:sz w:val="32"/>
          <w:szCs w:val="32"/>
        </w:rPr>
        <w:t>财政拨款收入支出总体</w:t>
      </w:r>
      <w:r>
        <w:rPr>
          <w:rFonts w:hint="default" w:ascii="Times New Roman" w:hAnsi="Times New Roman" w:eastAsia="仿宋_GB2312" w:cs="Times New Roman"/>
          <w:b w:val="0"/>
          <w:bCs w:val="0"/>
          <w:sz w:val="32"/>
          <w:szCs w:val="32"/>
        </w:rPr>
        <w:t>与上年相比，增加38,118.17万元，增长</w:t>
      </w:r>
      <w:r>
        <w:rPr>
          <w:rFonts w:hint="default" w:ascii="Times New Roman" w:hAnsi="Times New Roman" w:eastAsia="仿宋_GB2312" w:cs="Times New Roman"/>
          <w:b w:val="0"/>
          <w:bCs w:val="0"/>
          <w:sz w:val="32"/>
          <w:szCs w:val="32"/>
          <w:lang w:val="en-US" w:eastAsia="zh-CN"/>
        </w:rPr>
        <w:t>19.06</w:t>
      </w:r>
      <w:r>
        <w:rPr>
          <w:rFonts w:hint="default" w:ascii="Times New Roman" w:hAnsi="Times New Roman" w:eastAsia="仿宋_GB2312" w:cs="Times New Roman"/>
          <w:b w:val="0"/>
          <w:bCs w:val="0"/>
          <w:sz w:val="32"/>
          <w:szCs w:val="32"/>
        </w:rPr>
        <w:t>%，主要原因是：</w:t>
      </w:r>
      <w:r>
        <w:rPr>
          <w:rFonts w:hint="default" w:ascii="Times New Roman" w:hAnsi="Times New Roman" w:eastAsia="仿宋_GB2312" w:cs="Times New Roman"/>
          <w:b w:val="0"/>
          <w:bCs w:val="0"/>
          <w:sz w:val="32"/>
          <w:szCs w:val="32"/>
          <w:lang w:eastAsia="zh-CN"/>
        </w:rPr>
        <w:t>支付了老城区改造项目政府购买服务费</w:t>
      </w:r>
      <w:r>
        <w:rPr>
          <w:rFonts w:hint="default" w:ascii="Times New Roman" w:hAnsi="Times New Roman" w:eastAsia="仿宋_GB2312" w:cs="Times New Roman"/>
          <w:b w:val="0"/>
          <w:bCs w:val="0"/>
          <w:sz w:val="32"/>
          <w:szCs w:val="32"/>
        </w:rPr>
        <w:t>。与年初预算相比，年初预算数46,119.66万元，决算数238,127.14万元，预决算差异率416.32</w:t>
      </w:r>
      <w:r>
        <w:rPr>
          <w:rFonts w:hint="default" w:ascii="Times New Roman" w:hAnsi="Times New Roman" w:eastAsia="仿宋_GB2312" w:cs="Times New Roman"/>
          <w:sz w:val="32"/>
          <w:szCs w:val="32"/>
        </w:rPr>
        <w:t>%，主要原因是：</w:t>
      </w:r>
      <w:r>
        <w:rPr>
          <w:rFonts w:hint="default" w:ascii="Times New Roman" w:hAnsi="Times New Roman" w:eastAsia="仿宋_GB2312" w:cs="Times New Roman"/>
          <w:sz w:val="32"/>
          <w:szCs w:val="32"/>
          <w:lang w:eastAsia="zh-CN"/>
        </w:rPr>
        <w:t>新增了西泉街九年一贯制学校征收项目并支付</w:t>
      </w:r>
      <w:r>
        <w:rPr>
          <w:rFonts w:hint="default" w:ascii="Times New Roman" w:hAnsi="Times New Roman" w:eastAsia="仿宋_GB2312" w:cs="Times New Roman"/>
          <w:b w:val="0"/>
          <w:sz w:val="32"/>
          <w:szCs w:val="32"/>
          <w:highlight w:val="none"/>
          <w:lang w:eastAsia="zh-CN"/>
        </w:rPr>
        <w:t>了老城区改造项目政府购买服务费、美丽家园自建房改造项目、</w:t>
      </w:r>
      <w:r>
        <w:rPr>
          <w:rFonts w:hint="default" w:ascii="Times New Roman" w:hAnsi="Times New Roman" w:eastAsia="仿宋_GB2312" w:cs="Times New Roman"/>
          <w:b w:val="0"/>
          <w:sz w:val="32"/>
          <w:szCs w:val="32"/>
          <w:highlight w:val="none"/>
          <w:lang w:val="en-US" w:eastAsia="zh-CN"/>
        </w:rPr>
        <w:t>S106家属院征收项目、2018年棚改市政配套设施建设及河南庄村片区土地储备征收项目</w:t>
      </w:r>
      <w:r>
        <w:rPr>
          <w:rFonts w:hint="default" w:ascii="Times New Roman" w:hAnsi="Times New Roman" w:eastAsia="仿宋_GB2312" w:cs="Times New Roman"/>
          <w:sz w:val="32"/>
          <w:szCs w:val="32"/>
          <w:lang w:eastAsia="zh-CN"/>
        </w:rPr>
        <w:t>，导致决算数大幅高于年初预算数</w:t>
      </w:r>
      <w:r>
        <w:rPr>
          <w:rFonts w:hint="default" w:ascii="Times New Roman" w:hAnsi="Times New Roman" w:eastAsia="仿宋_GB2312" w:cs="Times New Roman"/>
          <w:sz w:val="32"/>
          <w:szCs w:val="32"/>
        </w:rPr>
        <w:t>。。</w:t>
      </w:r>
    </w:p>
    <w:p w14:paraId="2FD83D18">
      <w:pPr>
        <w:ind w:firstLine="640" w:firstLineChars="200"/>
        <w:outlineLvl w:val="1"/>
        <w:rPr>
          <w:rFonts w:hint="default" w:ascii="Times New Roman" w:hAnsi="Times New Roman" w:eastAsia="黑体" w:cs="Times New Roman"/>
          <w:bCs/>
          <w:kern w:val="0"/>
          <w:sz w:val="32"/>
          <w:szCs w:val="32"/>
        </w:rPr>
      </w:pPr>
      <w:bookmarkStart w:id="16" w:name="_Toc18905"/>
      <w:bookmarkStart w:id="17" w:name="_Toc13833"/>
      <w:r>
        <w:rPr>
          <w:rFonts w:hint="default" w:ascii="Times New Roman" w:hAnsi="Times New Roman" w:eastAsia="黑体" w:cs="Times New Roman"/>
          <w:bCs/>
          <w:kern w:val="0"/>
          <w:sz w:val="32"/>
          <w:szCs w:val="32"/>
        </w:rPr>
        <w:t>五、一般公共预算财政拨款支出决算情况说明</w:t>
      </w:r>
      <w:bookmarkEnd w:id="16"/>
      <w:bookmarkEnd w:id="17"/>
    </w:p>
    <w:p w14:paraId="33130EBD">
      <w:pPr>
        <w:ind w:firstLine="640" w:firstLineChars="200"/>
        <w:outlineLvl w:val="2"/>
        <w:rPr>
          <w:rFonts w:hint="default" w:ascii="Times New Roman" w:hAnsi="Times New Roman" w:eastAsia="黑体" w:cs="Times New Roman"/>
          <w:sz w:val="32"/>
          <w:szCs w:val="32"/>
        </w:rPr>
      </w:pPr>
      <w:bookmarkStart w:id="18" w:name="_Toc1165"/>
      <w:r>
        <w:rPr>
          <w:rFonts w:hint="default" w:ascii="Times New Roman" w:hAnsi="Times New Roman" w:eastAsia="黑体" w:cs="Times New Roman"/>
          <w:sz w:val="32"/>
          <w:szCs w:val="32"/>
        </w:rPr>
        <w:t>（一）一般公共预算财政拨款支出决算总体情况</w:t>
      </w:r>
      <w:bookmarkEnd w:id="18"/>
    </w:p>
    <w:p w14:paraId="63B6DE8C">
      <w:pPr>
        <w:widowControl/>
        <w:spacing w:before="0" w:beforeLines="0" w:beforeAutospacing="0" w:after="0" w:afterLines="0" w:afterAutospacing="0" w:line="240" w:lineRule="auto"/>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rPr>
        <w:t>2024年度一般公共预算财政拨款支出12,704.63万元，占本年支出合计的</w:t>
      </w:r>
      <w:r>
        <w:rPr>
          <w:rFonts w:hint="default" w:ascii="Times New Roman" w:hAnsi="Times New Roman" w:eastAsia="仿宋_GB2312" w:cs="Times New Roman"/>
          <w:b w:val="0"/>
          <w:bCs w:val="0"/>
          <w:sz w:val="32"/>
          <w:szCs w:val="32"/>
          <w:lang w:val="en-US" w:eastAsia="zh-CN"/>
        </w:rPr>
        <w:t>5.30</w:t>
      </w:r>
      <w:r>
        <w:rPr>
          <w:rFonts w:hint="default" w:ascii="Times New Roman" w:hAnsi="Times New Roman" w:eastAsia="仿宋_GB2312" w:cs="Times New Roman"/>
          <w:b w:val="0"/>
          <w:bCs w:val="0"/>
          <w:sz w:val="32"/>
          <w:szCs w:val="32"/>
        </w:rPr>
        <w:t>%。与上年相比，减少174,003.28万元，下降</w:t>
      </w:r>
      <w:r>
        <w:rPr>
          <w:rFonts w:hint="default" w:ascii="Times New Roman" w:hAnsi="Times New Roman" w:eastAsia="仿宋_GB2312" w:cs="Times New Roman"/>
          <w:b w:val="0"/>
          <w:bCs w:val="0"/>
          <w:sz w:val="32"/>
          <w:szCs w:val="32"/>
          <w:lang w:val="en-US" w:eastAsia="zh-CN"/>
        </w:rPr>
        <w:t>93.20</w:t>
      </w:r>
      <w:r>
        <w:rPr>
          <w:rFonts w:hint="default" w:ascii="Times New Roman" w:hAnsi="Times New Roman" w:eastAsia="仿宋_GB2312" w:cs="Times New Roman"/>
          <w:b w:val="0"/>
          <w:bCs w:val="0"/>
          <w:sz w:val="32"/>
          <w:szCs w:val="32"/>
        </w:rPr>
        <w:t>%，主要原因是：</w:t>
      </w:r>
      <w:r>
        <w:rPr>
          <w:rFonts w:hint="default" w:ascii="Times New Roman" w:hAnsi="Times New Roman" w:eastAsia="仿宋_GB2312" w:cs="Times New Roman"/>
          <w:b w:val="0"/>
          <w:bCs w:val="0"/>
          <w:sz w:val="32"/>
          <w:szCs w:val="32"/>
          <w:highlight w:val="none"/>
          <w:lang w:eastAsia="zh-CN"/>
        </w:rPr>
        <w:t>本年度减少了老城区改造政府购买服务费的支出</w:t>
      </w:r>
      <w:r>
        <w:rPr>
          <w:rFonts w:hint="default" w:ascii="Times New Roman" w:hAnsi="Times New Roman" w:eastAsia="仿宋_GB2312" w:cs="Times New Roman"/>
          <w:b w:val="0"/>
          <w:bCs w:val="0"/>
          <w:sz w:val="32"/>
          <w:szCs w:val="32"/>
          <w:highlight w:val="none"/>
        </w:rPr>
        <w:t>。</w:t>
      </w:r>
      <w:r>
        <w:rPr>
          <w:rFonts w:hint="default" w:ascii="Times New Roman" w:hAnsi="Times New Roman" w:eastAsia="仿宋_GB2312" w:cs="Times New Roman"/>
          <w:b w:val="0"/>
          <w:bCs w:val="0"/>
          <w:sz w:val="32"/>
          <w:szCs w:val="32"/>
        </w:rPr>
        <w:t>与年初预算相比,年初预算数</w:t>
      </w:r>
      <w:r>
        <w:rPr>
          <w:rFonts w:hint="default" w:ascii="Times New Roman" w:hAnsi="Times New Roman" w:eastAsia="仿宋_GB2312" w:cs="Times New Roman"/>
          <w:b w:val="0"/>
          <w:bCs w:val="0"/>
          <w:sz w:val="32"/>
          <w:szCs w:val="32"/>
          <w:lang w:val="en-US" w:eastAsia="zh-CN"/>
        </w:rPr>
        <w:t>6</w:t>
      </w:r>
      <w:r>
        <w:rPr>
          <w:rFonts w:hint="default" w:ascii="Times New Roman" w:hAnsi="Times New Roman" w:eastAsia="仿宋_GB2312" w:cs="Times New Roman"/>
          <w:sz w:val="32"/>
          <w:szCs w:val="32"/>
          <w:lang w:val="en-US" w:eastAsia="zh-CN"/>
        </w:rPr>
        <w:t>04.66</w:t>
      </w:r>
      <w:r>
        <w:rPr>
          <w:rFonts w:hint="default" w:ascii="Times New Roman" w:hAnsi="Times New Roman" w:eastAsia="仿宋_GB2312" w:cs="Times New Roman"/>
          <w:sz w:val="32"/>
          <w:szCs w:val="32"/>
        </w:rPr>
        <w:t>万元，决算数</w:t>
      </w:r>
      <w:r>
        <w:rPr>
          <w:rFonts w:hint="default" w:ascii="Times New Roman" w:hAnsi="Times New Roman" w:eastAsia="仿宋_GB2312" w:cs="Times New Roman"/>
          <w:b w:val="0"/>
          <w:sz w:val="32"/>
          <w:szCs w:val="32"/>
        </w:rPr>
        <w:t>12,704.63</w:t>
      </w:r>
      <w:r>
        <w:rPr>
          <w:rFonts w:hint="default" w:ascii="Times New Roman" w:hAnsi="Times New Roman" w:eastAsia="仿宋_GB2312" w:cs="Times New Roman"/>
          <w:sz w:val="32"/>
          <w:szCs w:val="32"/>
        </w:rPr>
        <w:t>万元，预决算差异率</w:t>
      </w:r>
      <w:r>
        <w:rPr>
          <w:rFonts w:hint="default" w:ascii="Times New Roman" w:hAnsi="Times New Roman" w:eastAsia="仿宋_GB2312" w:cs="Times New Roman"/>
          <w:b w:val="0"/>
          <w:sz w:val="32"/>
          <w:szCs w:val="32"/>
        </w:rPr>
        <w:t>2,001.12</w:t>
      </w:r>
      <w:r>
        <w:rPr>
          <w:rFonts w:hint="default" w:ascii="Times New Roman" w:hAnsi="Times New Roman" w:eastAsia="仿宋_GB2312" w:cs="Times New Roman"/>
          <w:sz w:val="32"/>
          <w:szCs w:val="32"/>
        </w:rPr>
        <w:t>%，主要原因是：</w:t>
      </w:r>
      <w:r>
        <w:rPr>
          <w:rFonts w:hint="default" w:ascii="Times New Roman" w:hAnsi="Times New Roman" w:eastAsia="仿宋_GB2312" w:cs="Times New Roman"/>
          <w:b w:val="0"/>
          <w:sz w:val="32"/>
          <w:szCs w:val="32"/>
          <w:highlight w:val="none"/>
          <w:lang w:eastAsia="zh-CN"/>
        </w:rPr>
        <w:t>新增了西泉街九年一贯制学校征收项目、土地储备耕地占用税及老城区棚改项目征收经费。</w:t>
      </w:r>
    </w:p>
    <w:p w14:paraId="1A446751">
      <w:pPr>
        <w:ind w:firstLine="640" w:firstLineChars="200"/>
        <w:outlineLvl w:val="2"/>
        <w:rPr>
          <w:rFonts w:hint="default" w:ascii="Times New Roman" w:hAnsi="Times New Roman" w:eastAsia="黑体" w:cs="Times New Roman"/>
          <w:sz w:val="32"/>
          <w:szCs w:val="32"/>
        </w:rPr>
      </w:pPr>
      <w:bookmarkStart w:id="19" w:name="_Toc27147"/>
      <w:r>
        <w:rPr>
          <w:rFonts w:hint="default" w:ascii="Times New Roman" w:hAnsi="Times New Roman" w:eastAsia="黑体" w:cs="Times New Roman"/>
          <w:sz w:val="32"/>
          <w:szCs w:val="32"/>
        </w:rPr>
        <w:t>（二）一般公共预算财政拨款支出决算结构情况</w:t>
      </w:r>
      <w:bookmarkEnd w:id="19"/>
    </w:p>
    <w:p w14:paraId="3EEEA8A6">
      <w:pPr>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eastAsia="zh-CN"/>
        </w:rPr>
        <w:t>教育支出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b w:val="0"/>
          <w:sz w:val="32"/>
          <w:szCs w:val="32"/>
        </w:rPr>
        <w:t>401.37</w:t>
      </w:r>
      <w:r>
        <w:rPr>
          <w:rFonts w:hint="default" w:ascii="Times New Roman" w:hAnsi="Times New Roman" w:eastAsia="仿宋_GB2312" w:cs="Times New Roman"/>
          <w:kern w:val="0"/>
          <w:sz w:val="32"/>
          <w:szCs w:val="32"/>
        </w:rPr>
        <w:t>万元，占</w:t>
      </w:r>
      <w:r>
        <w:rPr>
          <w:rFonts w:hint="default" w:ascii="Times New Roman" w:hAnsi="Times New Roman" w:eastAsia="仿宋_GB2312" w:cs="Times New Roman"/>
          <w:sz w:val="32"/>
          <w:szCs w:val="32"/>
          <w:lang w:val="en-US" w:eastAsia="zh-CN"/>
        </w:rPr>
        <w:t>3.16</w:t>
      </w:r>
      <w:r>
        <w:rPr>
          <w:rFonts w:hint="default" w:ascii="Times New Roman" w:hAnsi="Times New Roman" w:eastAsia="仿宋_GB2312" w:cs="Times New Roman"/>
          <w:kern w:val="0"/>
          <w:sz w:val="32"/>
          <w:szCs w:val="32"/>
        </w:rPr>
        <w:t>%。</w:t>
      </w:r>
    </w:p>
    <w:p w14:paraId="0AD07DE0">
      <w:pPr>
        <w:spacing w:line="600" w:lineRule="exact"/>
        <w:ind w:firstLine="640" w:firstLineChars="200"/>
        <w:rPr>
          <w:rFonts w:hint="default" w:ascii="Times New Roman" w:hAnsi="Times New Roman" w:eastAsia="仿宋_GB2312" w:cs="Times New Roman"/>
          <w:b w:val="0"/>
          <w:sz w:val="32"/>
          <w:szCs w:val="32"/>
          <w:lang w:val="en-US" w:eastAsia="zh-CN"/>
        </w:rPr>
      </w:pPr>
      <w:r>
        <w:rPr>
          <w:rFonts w:hint="default" w:ascii="Times New Roman" w:hAnsi="Times New Roman" w:eastAsia="仿宋_GB2312" w:cs="Times New Roman"/>
          <w:kern w:val="0"/>
          <w:sz w:val="32"/>
          <w:szCs w:val="32"/>
        </w:rPr>
        <w:t>2.</w:t>
      </w:r>
      <w:r>
        <w:rPr>
          <w:rFonts w:hint="default" w:ascii="Times New Roman" w:hAnsi="Times New Roman" w:eastAsia="仿宋_GB2312" w:cs="Times New Roman"/>
          <w:kern w:val="0"/>
          <w:sz w:val="32"/>
          <w:szCs w:val="32"/>
          <w:lang w:eastAsia="zh-CN"/>
        </w:rPr>
        <w:t>社会保障和就业支出（类）</w:t>
      </w:r>
      <w:r>
        <w:rPr>
          <w:rFonts w:hint="default" w:ascii="Times New Roman" w:hAnsi="Times New Roman" w:eastAsia="仿宋_GB2312" w:cs="Times New Roman"/>
          <w:b w:val="0"/>
          <w:sz w:val="32"/>
          <w:szCs w:val="32"/>
        </w:rPr>
        <w:t>64.16</w:t>
      </w:r>
      <w:r>
        <w:rPr>
          <w:rFonts w:hint="default" w:ascii="Times New Roman" w:hAnsi="Times New Roman" w:eastAsia="仿宋_GB2312" w:cs="Times New Roman"/>
          <w:b w:val="0"/>
          <w:sz w:val="32"/>
          <w:szCs w:val="32"/>
          <w:lang w:eastAsia="zh-CN"/>
        </w:rPr>
        <w:t>万元，占</w:t>
      </w:r>
      <w:r>
        <w:rPr>
          <w:rFonts w:hint="default" w:ascii="Times New Roman" w:hAnsi="Times New Roman" w:eastAsia="仿宋_GB2312" w:cs="Times New Roman"/>
          <w:b w:val="0"/>
          <w:sz w:val="32"/>
          <w:szCs w:val="32"/>
          <w:lang w:val="en-US" w:eastAsia="zh-CN"/>
        </w:rPr>
        <w:t>0.5</w:t>
      </w:r>
      <w:r>
        <w:rPr>
          <w:rFonts w:hint="eastAsia" w:eastAsia="仿宋_GB2312" w:cs="Times New Roman"/>
          <w:b w:val="0"/>
          <w:sz w:val="32"/>
          <w:szCs w:val="32"/>
          <w:lang w:val="en-US" w:eastAsia="zh-CN"/>
        </w:rPr>
        <w:t>0</w:t>
      </w:r>
      <w:r>
        <w:rPr>
          <w:rFonts w:hint="default" w:ascii="Times New Roman" w:hAnsi="Times New Roman" w:eastAsia="仿宋_GB2312" w:cs="Times New Roman"/>
          <w:b w:val="0"/>
          <w:sz w:val="32"/>
          <w:szCs w:val="32"/>
          <w:lang w:val="en-US" w:eastAsia="zh-CN"/>
        </w:rPr>
        <w:t>%。</w:t>
      </w:r>
    </w:p>
    <w:p w14:paraId="14D1247F">
      <w:pPr>
        <w:pStyle w:val="2"/>
        <w:ind w:left="0" w:leftChars="0" w:firstLine="640" w:firstLineChars="200"/>
        <w:rPr>
          <w:rFonts w:hint="default" w:ascii="Times New Roman" w:hAnsi="Times New Roman" w:cs="Times New Roman"/>
          <w:lang w:val="en-US" w:eastAsia="zh-CN"/>
        </w:rPr>
      </w:pPr>
      <w:r>
        <w:rPr>
          <w:rFonts w:hint="default" w:ascii="Times New Roman" w:hAnsi="Times New Roman" w:cs="Times New Roman"/>
          <w:b w:val="0"/>
          <w:sz w:val="32"/>
          <w:szCs w:val="32"/>
          <w:lang w:val="en-US" w:eastAsia="zh-CN"/>
        </w:rPr>
        <w:t>3.城乡社区支出（类）</w:t>
      </w:r>
      <w:r>
        <w:rPr>
          <w:rFonts w:hint="default" w:ascii="Times New Roman" w:hAnsi="Times New Roman" w:eastAsia="仿宋_GB2312" w:cs="Times New Roman"/>
          <w:b w:val="0"/>
          <w:sz w:val="32"/>
          <w:szCs w:val="32"/>
        </w:rPr>
        <w:t>12,239.10万元，占96.34%。</w:t>
      </w:r>
    </w:p>
    <w:p w14:paraId="30FABC21">
      <w:pPr>
        <w:ind w:firstLine="640" w:firstLineChars="200"/>
        <w:outlineLvl w:val="2"/>
        <w:rPr>
          <w:rFonts w:hint="default" w:ascii="Times New Roman" w:hAnsi="Times New Roman" w:eastAsia="黑体" w:cs="Times New Roman"/>
          <w:sz w:val="32"/>
          <w:szCs w:val="32"/>
        </w:rPr>
      </w:pPr>
      <w:bookmarkStart w:id="20" w:name="_Toc10037"/>
      <w:r>
        <w:rPr>
          <w:rFonts w:hint="default" w:ascii="Times New Roman" w:hAnsi="Times New Roman" w:eastAsia="黑体" w:cs="Times New Roman"/>
          <w:sz w:val="32"/>
          <w:szCs w:val="32"/>
        </w:rPr>
        <w:t>（三）一般公共预算财政拨款支出决算具体情况</w:t>
      </w:r>
      <w:bookmarkEnd w:id="20"/>
    </w:p>
    <w:p w14:paraId="58C54E65">
      <w:pPr>
        <w:widowControl/>
        <w:spacing w:before="0" w:beforeLines="0" w:beforeAutospacing="0" w:after="0" w:afterLines="0" w:afterAutospacing="0" w:line="240" w:lineRule="auto"/>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b w:val="0"/>
          <w:sz w:val="32"/>
          <w:szCs w:val="32"/>
        </w:rPr>
        <w:t>教育支出（类）普通教育（款）小学教育（项）：支出决算数为401.37万元，比上年决算增加401.37万元，增长100.00%，主要原因是：</w:t>
      </w:r>
      <w:r>
        <w:rPr>
          <w:rFonts w:hint="default" w:ascii="Times New Roman" w:hAnsi="Times New Roman" w:eastAsia="仿宋_GB2312" w:cs="Times New Roman"/>
          <w:b w:val="0"/>
          <w:sz w:val="32"/>
          <w:szCs w:val="32"/>
          <w:lang w:eastAsia="zh-CN"/>
        </w:rPr>
        <w:t>新增了西泉街九年一贯制教育征收项目。</w:t>
      </w:r>
    </w:p>
    <w:p w14:paraId="391DC6A4">
      <w:pPr>
        <w:widowControl/>
        <w:spacing w:before="0" w:beforeLines="0" w:beforeAutospacing="0" w:after="0" w:afterLines="0" w:afterAutospacing="0" w:line="240" w:lineRule="auto"/>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sz w:val="32"/>
          <w:szCs w:val="32"/>
        </w:rPr>
        <w:t>2</w:t>
      </w:r>
      <w:r>
        <w:rPr>
          <w:rFonts w:hint="default" w:ascii="Times New Roman" w:hAnsi="Times New Roman" w:eastAsia="仿宋_GB2312" w:cs="Times New Roman"/>
          <w:b w:val="0"/>
          <w:sz w:val="32"/>
          <w:szCs w:val="32"/>
          <w:lang w:val="en-US" w:eastAsia="zh-CN"/>
        </w:rPr>
        <w:t>.</w:t>
      </w:r>
      <w:r>
        <w:rPr>
          <w:rFonts w:hint="default" w:ascii="Times New Roman" w:hAnsi="Times New Roman" w:eastAsia="仿宋_GB2312" w:cs="Times New Roman"/>
          <w:b w:val="0"/>
          <w:sz w:val="32"/>
          <w:szCs w:val="32"/>
        </w:rPr>
        <w:t>社会保障和就业支出（类）行政事业单位养老支出（款）事业单位离退休（项）：支出决算数为0.19万元，比上年决算增加0.19万元，增长100.00%，主要原因是：</w:t>
      </w:r>
      <w:r>
        <w:rPr>
          <w:rFonts w:hint="default" w:ascii="Times New Roman" w:hAnsi="Times New Roman" w:eastAsia="仿宋_GB2312" w:cs="Times New Roman"/>
          <w:b w:val="0"/>
          <w:sz w:val="32"/>
          <w:szCs w:val="32"/>
          <w:lang w:eastAsia="zh-CN"/>
        </w:rPr>
        <w:t>支付了退休人员</w:t>
      </w:r>
      <w:r>
        <w:rPr>
          <w:rFonts w:hint="default" w:ascii="Times New Roman" w:hAnsi="Times New Roman" w:eastAsia="仿宋_GB2312" w:cs="Times New Roman"/>
          <w:b w:val="0"/>
          <w:sz w:val="32"/>
          <w:szCs w:val="32"/>
          <w:lang w:val="en-US" w:eastAsia="zh-CN"/>
        </w:rPr>
        <w:t>2人采暖补贴。</w:t>
      </w:r>
    </w:p>
    <w:p w14:paraId="586BD1F1">
      <w:pPr>
        <w:widowControl/>
        <w:spacing w:before="0" w:beforeLines="0" w:beforeAutospacing="0" w:after="0" w:afterLines="0" w:afterAutospacing="0" w:line="240" w:lineRule="auto"/>
        <w:ind w:firstLine="640" w:firstLineChars="200"/>
        <w:rPr>
          <w:rFonts w:hint="default" w:ascii="Times New Roman" w:hAnsi="Times New Roman" w:eastAsia="仿宋_GB2312" w:cs="Times New Roman"/>
          <w:b w:val="0"/>
          <w:sz w:val="32"/>
          <w:szCs w:val="32"/>
          <w:lang w:eastAsia="zh-CN"/>
        </w:rPr>
      </w:pPr>
      <w:r>
        <w:rPr>
          <w:rFonts w:hint="default" w:ascii="Times New Roman" w:hAnsi="Times New Roman" w:eastAsia="仿宋_GB2312" w:cs="Times New Roman"/>
          <w:b w:val="0"/>
          <w:sz w:val="32"/>
          <w:szCs w:val="32"/>
        </w:rPr>
        <w:t>3</w:t>
      </w:r>
      <w:r>
        <w:rPr>
          <w:rFonts w:hint="default" w:ascii="Times New Roman" w:hAnsi="Times New Roman" w:eastAsia="仿宋_GB2312" w:cs="Times New Roman"/>
          <w:b w:val="0"/>
          <w:sz w:val="32"/>
          <w:szCs w:val="32"/>
          <w:lang w:val="en-US" w:eastAsia="zh-CN"/>
        </w:rPr>
        <w:t>.</w:t>
      </w:r>
      <w:r>
        <w:rPr>
          <w:rFonts w:hint="default" w:ascii="Times New Roman" w:hAnsi="Times New Roman" w:eastAsia="仿宋_GB2312" w:cs="Times New Roman"/>
          <w:b w:val="0"/>
          <w:sz w:val="32"/>
          <w:szCs w:val="32"/>
        </w:rPr>
        <w:t>社会保障和就业支出（类）行政事业单位养老支出（款）机关事业单位基本养老保险缴费支出（项）：支出决算数为55.80万元，比上年决算增加6.34万元，增长12.82%，主要原因是：</w:t>
      </w:r>
      <w:r>
        <w:rPr>
          <w:rFonts w:hint="default" w:ascii="Times New Roman" w:hAnsi="Times New Roman" w:eastAsia="仿宋_GB2312" w:cs="Times New Roman"/>
          <w:b w:val="0"/>
          <w:sz w:val="32"/>
          <w:szCs w:val="32"/>
          <w:lang w:eastAsia="zh-CN"/>
        </w:rPr>
        <w:t>由于年度工资调整，导致社保基数调整，因此养老金缴费支出增加。</w:t>
      </w:r>
    </w:p>
    <w:p w14:paraId="1EF5434E">
      <w:pPr>
        <w:widowControl/>
        <w:spacing w:before="0" w:beforeLines="0" w:beforeAutospacing="0" w:after="0" w:afterLines="0" w:afterAutospacing="0" w:line="240" w:lineRule="auto"/>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sz w:val="32"/>
          <w:szCs w:val="32"/>
        </w:rPr>
        <w:t>4</w:t>
      </w:r>
      <w:r>
        <w:rPr>
          <w:rFonts w:hint="default" w:ascii="Times New Roman" w:hAnsi="Times New Roman" w:eastAsia="仿宋_GB2312" w:cs="Times New Roman"/>
          <w:b w:val="0"/>
          <w:sz w:val="32"/>
          <w:szCs w:val="32"/>
          <w:lang w:val="en-US" w:eastAsia="zh-CN"/>
        </w:rPr>
        <w:t>.</w:t>
      </w:r>
      <w:r>
        <w:rPr>
          <w:rFonts w:hint="default" w:ascii="Times New Roman" w:hAnsi="Times New Roman" w:eastAsia="仿宋_GB2312" w:cs="Times New Roman"/>
          <w:b w:val="0"/>
          <w:sz w:val="32"/>
          <w:szCs w:val="32"/>
        </w:rPr>
        <w:t>社会保障和就业支出（类）行政事业单位养老支出（款）机关事业单位职业年金缴费支出（项）：支出决算数为8.18万元，比上年决算减少16.60万元，下降66.99%，主要原因是：</w:t>
      </w:r>
      <w:r>
        <w:rPr>
          <w:rFonts w:hint="default" w:ascii="Times New Roman" w:hAnsi="Times New Roman" w:eastAsia="仿宋_GB2312" w:cs="Times New Roman"/>
          <w:b w:val="0"/>
          <w:sz w:val="32"/>
          <w:szCs w:val="32"/>
          <w:lang w:eastAsia="zh-CN"/>
        </w:rPr>
        <w:t>退休人数较上年度减少</w:t>
      </w:r>
      <w:r>
        <w:rPr>
          <w:rFonts w:hint="default" w:ascii="Times New Roman" w:hAnsi="Times New Roman" w:eastAsia="仿宋_GB2312" w:cs="Times New Roman"/>
          <w:b w:val="0"/>
          <w:sz w:val="32"/>
          <w:szCs w:val="32"/>
          <w:lang w:val="en-US" w:eastAsia="zh-CN"/>
        </w:rPr>
        <w:t>1人，因此职业年金缴费支出减少。</w:t>
      </w:r>
    </w:p>
    <w:p w14:paraId="56FA57FA">
      <w:pPr>
        <w:widowControl/>
        <w:spacing w:before="0" w:beforeLines="0" w:beforeAutospacing="0" w:after="0" w:afterLines="0" w:afterAutospacing="0" w:line="240" w:lineRule="auto"/>
        <w:ind w:firstLine="640" w:firstLineChars="200"/>
        <w:rPr>
          <w:rFonts w:hint="default" w:ascii="Times New Roman" w:hAnsi="Times New Roman" w:eastAsia="仿宋_GB2312" w:cs="Times New Roman"/>
          <w:b w:val="0"/>
          <w:sz w:val="32"/>
          <w:szCs w:val="32"/>
          <w:lang w:eastAsia="zh-CN"/>
        </w:rPr>
      </w:pPr>
      <w:r>
        <w:rPr>
          <w:rFonts w:hint="default" w:ascii="Times New Roman" w:hAnsi="Times New Roman" w:eastAsia="仿宋_GB2312" w:cs="Times New Roman"/>
          <w:b w:val="0"/>
          <w:sz w:val="32"/>
          <w:szCs w:val="32"/>
        </w:rPr>
        <w:t>5</w:t>
      </w:r>
      <w:r>
        <w:rPr>
          <w:rFonts w:hint="default" w:ascii="Times New Roman" w:hAnsi="Times New Roman" w:eastAsia="仿宋_GB2312" w:cs="Times New Roman"/>
          <w:b w:val="0"/>
          <w:sz w:val="32"/>
          <w:szCs w:val="32"/>
          <w:lang w:val="en-US" w:eastAsia="zh-CN"/>
        </w:rPr>
        <w:t>.</w:t>
      </w:r>
      <w:r>
        <w:rPr>
          <w:rFonts w:hint="default" w:ascii="Times New Roman" w:hAnsi="Times New Roman" w:eastAsia="仿宋_GB2312" w:cs="Times New Roman"/>
          <w:b w:val="0"/>
          <w:sz w:val="32"/>
          <w:szCs w:val="32"/>
        </w:rPr>
        <w:t>城乡社区支出（类）城乡社区管理事务（款）其他城乡社区管理事务支出（项）：支出决算数为524.28万元，比上年决算增加20.32万元，增长4.03%，主要原因是：</w:t>
      </w:r>
      <w:r>
        <w:rPr>
          <w:rFonts w:hint="default" w:ascii="Times New Roman" w:hAnsi="Times New Roman" w:eastAsia="仿宋_GB2312" w:cs="Times New Roman"/>
          <w:b w:val="0"/>
          <w:sz w:val="32"/>
          <w:szCs w:val="32"/>
          <w:lang w:eastAsia="zh-CN"/>
        </w:rPr>
        <w:t>工资年度正常晋升以及医疗保险年度调基造成比上年决算数增加。</w:t>
      </w:r>
    </w:p>
    <w:p w14:paraId="57EBF7BE">
      <w:pPr>
        <w:widowControl/>
        <w:spacing w:before="0" w:beforeLines="0" w:beforeAutospacing="0" w:after="0" w:afterLines="0" w:afterAutospacing="0" w:line="240" w:lineRule="auto"/>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val="0"/>
          <w:sz w:val="32"/>
          <w:szCs w:val="32"/>
        </w:rPr>
        <w:t>6</w:t>
      </w:r>
      <w:r>
        <w:rPr>
          <w:rFonts w:hint="default" w:ascii="Times New Roman" w:hAnsi="Times New Roman" w:eastAsia="仿宋_GB2312" w:cs="Times New Roman"/>
          <w:b w:val="0"/>
          <w:sz w:val="32"/>
          <w:szCs w:val="32"/>
          <w:lang w:val="en-US" w:eastAsia="zh-CN"/>
        </w:rPr>
        <w:t>.</w:t>
      </w:r>
      <w:r>
        <w:rPr>
          <w:rFonts w:hint="default" w:ascii="Times New Roman" w:hAnsi="Times New Roman" w:eastAsia="仿宋_GB2312" w:cs="Times New Roman"/>
          <w:b w:val="0"/>
          <w:sz w:val="32"/>
          <w:szCs w:val="32"/>
        </w:rPr>
        <w:t>城乡社区支出（类）城乡社区公共设施（款）其他城乡社区公共设施支出（项）：支出决算数为11,714.81万元，比上年决算减少173,976.32万元，下降93.69%，主要原因是：</w:t>
      </w:r>
      <w:r>
        <w:rPr>
          <w:rFonts w:hint="default" w:ascii="Times New Roman" w:hAnsi="Times New Roman" w:eastAsia="仿宋_GB2312" w:cs="Times New Roman"/>
          <w:b w:val="0"/>
          <w:sz w:val="32"/>
          <w:szCs w:val="32"/>
          <w:lang w:eastAsia="zh-CN"/>
        </w:rPr>
        <w:t>减少了矿山治理征收项目、退二转三征收项目及河南庄片区土储及相关市政工程道路征收项目经费支出。</w:t>
      </w:r>
    </w:p>
    <w:p w14:paraId="61888222">
      <w:pPr>
        <w:widowControl/>
        <w:spacing w:before="0" w:beforeLines="0" w:beforeAutospacing="0" w:after="0" w:afterLines="0" w:afterAutospacing="0" w:line="240" w:lineRule="auto"/>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val="0"/>
          <w:sz w:val="32"/>
          <w:szCs w:val="32"/>
        </w:rPr>
        <w:t>7</w:t>
      </w:r>
      <w:r>
        <w:rPr>
          <w:rFonts w:hint="default" w:ascii="Times New Roman" w:hAnsi="Times New Roman" w:eastAsia="仿宋_GB2312" w:cs="Times New Roman"/>
          <w:b w:val="0"/>
          <w:sz w:val="32"/>
          <w:szCs w:val="32"/>
          <w:lang w:val="en-US" w:eastAsia="zh-CN"/>
        </w:rPr>
        <w:t>.</w:t>
      </w:r>
      <w:r>
        <w:rPr>
          <w:rFonts w:hint="default" w:ascii="Times New Roman" w:hAnsi="Times New Roman" w:eastAsia="仿宋_GB2312" w:cs="Times New Roman"/>
          <w:b w:val="0"/>
          <w:sz w:val="32"/>
          <w:szCs w:val="32"/>
        </w:rPr>
        <w:t>城乡社区支出（类）其他城乡社区支出（款）其他城乡社区支出（项）：支出决算数为0.00万元，比上年决算减少438.57万元，下降100.00%，主要原因是：</w:t>
      </w:r>
      <w:r>
        <w:rPr>
          <w:rFonts w:hint="default" w:ascii="Times New Roman" w:hAnsi="Times New Roman" w:eastAsia="仿宋_GB2312" w:cs="Times New Roman"/>
          <w:b w:val="0"/>
          <w:sz w:val="32"/>
          <w:szCs w:val="32"/>
          <w:lang w:eastAsia="zh-CN"/>
        </w:rPr>
        <w:t>减少了乌西乌北联络线工程项目耕地开垦费及跨县域补充耕地指标实际竞买费。</w:t>
      </w:r>
    </w:p>
    <w:p w14:paraId="1F5F3A2E">
      <w:pPr>
        <w:ind w:firstLine="640" w:firstLineChars="200"/>
        <w:outlineLvl w:val="1"/>
        <w:rPr>
          <w:rFonts w:hint="default" w:ascii="Times New Roman" w:hAnsi="Times New Roman" w:eastAsia="黑体" w:cs="Times New Roman"/>
          <w:bCs/>
          <w:kern w:val="0"/>
          <w:sz w:val="32"/>
          <w:szCs w:val="32"/>
        </w:rPr>
      </w:pPr>
      <w:bookmarkStart w:id="21" w:name="_Toc11146"/>
      <w:bookmarkStart w:id="22" w:name="_Toc23415"/>
      <w:r>
        <w:rPr>
          <w:rFonts w:hint="default" w:ascii="Times New Roman" w:hAnsi="Times New Roman" w:eastAsia="黑体" w:cs="Times New Roman"/>
          <w:bCs/>
          <w:kern w:val="0"/>
          <w:sz w:val="32"/>
          <w:szCs w:val="32"/>
        </w:rPr>
        <w:t>六、一般公共预算财政拨款基本支出决算情况说明</w:t>
      </w:r>
      <w:bookmarkEnd w:id="21"/>
      <w:bookmarkEnd w:id="22"/>
    </w:p>
    <w:p w14:paraId="726E0567">
      <w:pPr>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sz w:val="32"/>
          <w:szCs w:val="32"/>
        </w:rPr>
        <w:t>2024年度一般公共预算财政拨款基本支出</w:t>
      </w:r>
      <w:r>
        <w:rPr>
          <w:rFonts w:hint="default" w:ascii="Times New Roman" w:hAnsi="Times New Roman" w:eastAsia="仿宋_GB2312" w:cs="Times New Roman"/>
          <w:sz w:val="32"/>
          <w:szCs w:val="32"/>
          <w:lang w:val="en-US" w:eastAsia="zh-CN"/>
        </w:rPr>
        <w:t>588.4</w:t>
      </w: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rPr>
        <w:t>万元，其</w:t>
      </w:r>
      <w:r>
        <w:rPr>
          <w:rFonts w:hint="default" w:ascii="Times New Roman" w:hAnsi="Times New Roman" w:eastAsia="仿宋_GB2312" w:cs="Times New Roman"/>
          <w:b w:val="0"/>
          <w:bCs w:val="0"/>
          <w:sz w:val="32"/>
          <w:szCs w:val="32"/>
        </w:rPr>
        <w:t>中：人员经费</w:t>
      </w:r>
      <w:r>
        <w:rPr>
          <w:rFonts w:hint="default" w:ascii="Times New Roman" w:hAnsi="Times New Roman" w:eastAsia="仿宋_GB2312" w:cs="Times New Roman"/>
          <w:b w:val="0"/>
          <w:bCs w:val="0"/>
          <w:sz w:val="32"/>
          <w:szCs w:val="32"/>
          <w:lang w:val="en-US" w:eastAsia="zh-CN"/>
        </w:rPr>
        <w:t>563.4</w:t>
      </w:r>
      <w:r>
        <w:rPr>
          <w:rFonts w:hint="eastAsia" w:eastAsia="仿宋_GB2312" w:cs="Times New Roman"/>
          <w:b w:val="0"/>
          <w:bCs w:val="0"/>
          <w:sz w:val="32"/>
          <w:szCs w:val="32"/>
          <w:lang w:val="en-US" w:eastAsia="zh-CN"/>
        </w:rPr>
        <w:t>6</w:t>
      </w:r>
      <w:r>
        <w:rPr>
          <w:rFonts w:hint="default" w:ascii="Times New Roman" w:hAnsi="Times New Roman" w:eastAsia="仿宋_GB2312" w:cs="Times New Roman"/>
          <w:b w:val="0"/>
          <w:bCs w:val="0"/>
          <w:sz w:val="32"/>
          <w:szCs w:val="32"/>
        </w:rPr>
        <w:t>万元，包括：基本工资、津贴补贴、奖金、绩效工资、机关事业单位基本养老保险缴费、职业年金缴费、职工基本医疗保险缴费、公务员医疗补助缴费、其他社会保障缴费、住房公积金、退休费</w:t>
      </w:r>
      <w:r>
        <w:rPr>
          <w:rFonts w:hint="default" w:ascii="Times New Roman" w:hAnsi="Times New Roman" w:eastAsia="仿宋_GB2312" w:cs="Times New Roman"/>
          <w:b w:val="0"/>
          <w:bCs w:val="0"/>
          <w:sz w:val="32"/>
          <w:szCs w:val="32"/>
          <w:lang w:eastAsia="zh-CN"/>
        </w:rPr>
        <w:t>和</w:t>
      </w:r>
      <w:r>
        <w:rPr>
          <w:rFonts w:hint="default" w:ascii="Times New Roman" w:hAnsi="Times New Roman" w:eastAsia="仿宋_GB2312" w:cs="Times New Roman"/>
          <w:b w:val="0"/>
          <w:bCs w:val="0"/>
          <w:sz w:val="32"/>
          <w:szCs w:val="32"/>
        </w:rPr>
        <w:t>奖励金。</w:t>
      </w:r>
    </w:p>
    <w:p w14:paraId="11C23213">
      <w:pPr>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b w:val="0"/>
          <w:bCs w:val="0"/>
          <w:sz w:val="32"/>
          <w:szCs w:val="32"/>
        </w:rPr>
        <w:t>公用经费</w:t>
      </w:r>
      <w:r>
        <w:rPr>
          <w:rFonts w:hint="default" w:ascii="Times New Roman" w:hAnsi="Times New Roman" w:eastAsia="仿宋_GB2312" w:cs="Times New Roman"/>
          <w:b w:val="0"/>
          <w:bCs w:val="0"/>
          <w:sz w:val="32"/>
          <w:szCs w:val="32"/>
          <w:lang w:val="en-US" w:eastAsia="zh-CN"/>
        </w:rPr>
        <w:t>24.98</w:t>
      </w:r>
      <w:r>
        <w:rPr>
          <w:rFonts w:hint="default" w:ascii="Times New Roman" w:hAnsi="Times New Roman" w:eastAsia="仿宋_GB2312" w:cs="Times New Roman"/>
          <w:b w:val="0"/>
          <w:bCs w:val="0"/>
          <w:sz w:val="32"/>
          <w:szCs w:val="32"/>
        </w:rPr>
        <w:t>万元，包括：办公费、邮电费、</w:t>
      </w:r>
      <w:r>
        <w:rPr>
          <w:rFonts w:hint="default" w:ascii="Times New Roman" w:hAnsi="Times New Roman" w:eastAsia="仿宋_GB2312" w:cs="Times New Roman"/>
          <w:sz w:val="32"/>
          <w:szCs w:val="32"/>
        </w:rPr>
        <w:t>差旅费、租赁费、培训费、工会经费、福利费</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公务用车运行维护费。</w:t>
      </w:r>
    </w:p>
    <w:p w14:paraId="727F5C7E">
      <w:pPr>
        <w:ind w:firstLine="640" w:firstLineChars="200"/>
        <w:outlineLvl w:val="1"/>
        <w:rPr>
          <w:rFonts w:hint="default" w:ascii="Times New Roman" w:hAnsi="Times New Roman" w:eastAsia="黑体" w:cs="Times New Roman"/>
          <w:bCs/>
          <w:kern w:val="0"/>
          <w:sz w:val="32"/>
          <w:szCs w:val="32"/>
        </w:rPr>
      </w:pPr>
      <w:bookmarkStart w:id="23" w:name="_Toc7927"/>
      <w:bookmarkStart w:id="24" w:name="_Toc7523"/>
      <w:r>
        <w:rPr>
          <w:rFonts w:hint="default" w:ascii="Times New Roman" w:hAnsi="Times New Roman" w:eastAsia="黑体" w:cs="Times New Roman"/>
          <w:bCs/>
          <w:kern w:val="0"/>
          <w:sz w:val="32"/>
          <w:szCs w:val="32"/>
        </w:rPr>
        <w:t>七、政府性基金预算财政拨款收入支出决算情况说明</w:t>
      </w:r>
      <w:bookmarkEnd w:id="23"/>
      <w:bookmarkEnd w:id="24"/>
    </w:p>
    <w:p w14:paraId="607093D4">
      <w:pPr>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2024年度政府性基金预算财政拨款收入总计225,422.51万元，其中：年初结转和结余</w:t>
      </w:r>
      <w:r>
        <w:rPr>
          <w:rFonts w:hint="default" w:ascii="Times New Roman" w:hAnsi="Times New Roman" w:eastAsia="仿宋_GB2312" w:cs="Times New Roman"/>
          <w:b w:val="0"/>
          <w:bCs w:val="0"/>
          <w:sz w:val="32"/>
          <w:szCs w:val="32"/>
          <w:lang w:val="en-US" w:eastAsia="zh-CN"/>
        </w:rPr>
        <w:t>0.00</w:t>
      </w:r>
      <w:r>
        <w:rPr>
          <w:rFonts w:hint="default" w:ascii="Times New Roman" w:hAnsi="Times New Roman" w:eastAsia="仿宋_GB2312" w:cs="Times New Roman"/>
          <w:b w:val="0"/>
          <w:bCs w:val="0"/>
          <w:sz w:val="32"/>
          <w:szCs w:val="32"/>
        </w:rPr>
        <w:t>万元，本年收入225,422.51万元。政府性基金预算财政拨款支出总计225,422.51元，其中：年末结转和结余</w:t>
      </w:r>
      <w:r>
        <w:rPr>
          <w:rFonts w:hint="default" w:ascii="Times New Roman" w:hAnsi="Times New Roman" w:eastAsia="仿宋_GB2312" w:cs="Times New Roman"/>
          <w:b w:val="0"/>
          <w:bCs w:val="0"/>
          <w:sz w:val="32"/>
          <w:szCs w:val="32"/>
          <w:lang w:val="en-US" w:eastAsia="zh-CN"/>
        </w:rPr>
        <w:t>0.00</w:t>
      </w:r>
      <w:r>
        <w:rPr>
          <w:rFonts w:hint="default" w:ascii="Times New Roman" w:hAnsi="Times New Roman" w:eastAsia="仿宋_GB2312" w:cs="Times New Roman"/>
          <w:b w:val="0"/>
          <w:bCs w:val="0"/>
          <w:sz w:val="32"/>
          <w:szCs w:val="32"/>
        </w:rPr>
        <w:t>万元，本年支出225,422.51万元。</w:t>
      </w:r>
    </w:p>
    <w:p w14:paraId="1C8293F6">
      <w:pPr>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kern w:val="0"/>
          <w:sz w:val="32"/>
          <w:szCs w:val="32"/>
        </w:rPr>
        <w:t>政府性基金预算财政拨款收入支出总体</w:t>
      </w:r>
      <w:r>
        <w:rPr>
          <w:rFonts w:hint="default" w:ascii="Times New Roman" w:hAnsi="Times New Roman" w:eastAsia="仿宋_GB2312" w:cs="Times New Roman"/>
          <w:b w:val="0"/>
          <w:bCs w:val="0"/>
          <w:sz w:val="32"/>
          <w:szCs w:val="32"/>
        </w:rPr>
        <w:t>与上年相比，增加212,121.45万元，增长1,594.77%，主要原因是：</w:t>
      </w:r>
      <w:r>
        <w:rPr>
          <w:rFonts w:hint="default" w:ascii="Times New Roman" w:hAnsi="Times New Roman" w:eastAsia="仿宋_GB2312" w:cs="Times New Roman"/>
          <w:b w:val="0"/>
          <w:bCs w:val="0"/>
          <w:sz w:val="32"/>
          <w:szCs w:val="32"/>
          <w:lang w:eastAsia="zh-CN"/>
        </w:rPr>
        <w:t>增加了老城区棚改项目政府购买服务费的支出。</w:t>
      </w:r>
    </w:p>
    <w:p w14:paraId="5AE992F5">
      <w:pPr>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与年初预算相比，年初预算数45,515.00万元，决算数225,422.51万元，预决算差异率</w:t>
      </w:r>
      <w:r>
        <w:rPr>
          <w:rFonts w:hint="default" w:ascii="Times New Roman" w:hAnsi="Times New Roman" w:eastAsia="仿宋_GB2312" w:cs="Times New Roman"/>
          <w:b w:val="0"/>
          <w:bCs w:val="0"/>
          <w:sz w:val="32"/>
          <w:szCs w:val="32"/>
          <w:lang w:val="en-US" w:eastAsia="zh-CN"/>
        </w:rPr>
        <w:t>395.27</w:t>
      </w:r>
      <w:r>
        <w:rPr>
          <w:rFonts w:hint="default" w:ascii="Times New Roman" w:hAnsi="Times New Roman" w:eastAsia="仿宋_GB2312" w:cs="Times New Roman"/>
          <w:b w:val="0"/>
          <w:bCs w:val="0"/>
          <w:sz w:val="32"/>
          <w:szCs w:val="32"/>
        </w:rPr>
        <w:t>%，主要原因是：</w:t>
      </w:r>
      <w:r>
        <w:rPr>
          <w:rFonts w:hint="default" w:ascii="Times New Roman" w:hAnsi="Times New Roman" w:eastAsia="仿宋_GB2312" w:cs="Times New Roman"/>
          <w:b w:val="0"/>
          <w:bCs w:val="0"/>
          <w:sz w:val="32"/>
          <w:szCs w:val="32"/>
          <w:lang w:eastAsia="zh-CN"/>
        </w:rPr>
        <w:t>提前付清了老城区棚改项目政府购买服务费</w:t>
      </w:r>
      <w:r>
        <w:rPr>
          <w:rFonts w:hint="default" w:ascii="Times New Roman" w:hAnsi="Times New Roman" w:eastAsia="仿宋_GB2312" w:cs="Times New Roman"/>
          <w:b w:val="0"/>
          <w:bCs w:val="0"/>
          <w:sz w:val="32"/>
          <w:szCs w:val="32"/>
        </w:rPr>
        <w:t>。</w:t>
      </w:r>
    </w:p>
    <w:p w14:paraId="4D90BE02">
      <w:pPr>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政府性基金预算财政拨款支出225,422.51万元。</w:t>
      </w:r>
    </w:p>
    <w:p w14:paraId="197ABDE2">
      <w:pPr>
        <w:widowControl/>
        <w:spacing w:before="0" w:beforeLines="0" w:beforeAutospacing="0" w:after="0" w:afterLines="0" w:afterAutospacing="0" w:line="240" w:lineRule="auto"/>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b w:val="0"/>
          <w:sz w:val="32"/>
          <w:szCs w:val="32"/>
        </w:rPr>
        <w:t>城乡社区支出（类）国有土地使用权出让收入安排的支出（款）城市建设支出（项）：支出决算数为0.00万元，比上年决算减少2.06万元，下降100.00%，主要原因是：</w:t>
      </w:r>
      <w:r>
        <w:rPr>
          <w:rFonts w:hint="default" w:ascii="Times New Roman" w:hAnsi="Times New Roman" w:eastAsia="仿宋_GB2312" w:cs="Times New Roman"/>
          <w:b w:val="0"/>
          <w:sz w:val="32"/>
          <w:szCs w:val="32"/>
          <w:lang w:eastAsia="zh-CN"/>
        </w:rPr>
        <w:t>本年度</w:t>
      </w:r>
      <w:r>
        <w:rPr>
          <w:rFonts w:hint="eastAsia" w:eastAsia="仿宋_GB2312" w:cs="Times New Roman"/>
          <w:b w:val="0"/>
          <w:sz w:val="32"/>
          <w:szCs w:val="32"/>
          <w:lang w:val="en-US" w:eastAsia="zh-CN"/>
        </w:rPr>
        <w:t>较上年减少了管理四站项目征收补偿款</w:t>
      </w:r>
      <w:r>
        <w:rPr>
          <w:rFonts w:hint="default" w:ascii="Times New Roman" w:hAnsi="Times New Roman" w:eastAsia="仿宋_GB2312" w:cs="Times New Roman"/>
          <w:b w:val="0"/>
          <w:sz w:val="32"/>
          <w:szCs w:val="32"/>
          <w:lang w:eastAsia="zh-CN"/>
        </w:rPr>
        <w:t>预算。</w:t>
      </w:r>
    </w:p>
    <w:p w14:paraId="3D7F5669">
      <w:pPr>
        <w:widowControl/>
        <w:spacing w:before="0" w:beforeLines="0" w:beforeAutospacing="0" w:after="0" w:afterLines="0" w:afterAutospacing="0" w:line="240" w:lineRule="auto"/>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val="0"/>
          <w:sz w:val="32"/>
          <w:szCs w:val="32"/>
        </w:rPr>
        <w:t>2、城乡社区支出（类）城市基础设施配套费安排的支出（款）其他城市基础设施配套费安排的支出（项）：支出决算数为22.51万元，比上年决算减少13,276.49万元，下降99.83%，主要原因是：</w:t>
      </w:r>
      <w:r>
        <w:rPr>
          <w:rFonts w:hint="default" w:ascii="Times New Roman" w:hAnsi="Times New Roman" w:eastAsia="仿宋_GB2312" w:cs="Times New Roman"/>
          <w:b w:val="0"/>
          <w:sz w:val="32"/>
          <w:szCs w:val="32"/>
          <w:lang w:eastAsia="zh-CN"/>
        </w:rPr>
        <w:t>本年度减少使用本科目支付老城区棚改项目政府购买服务费。</w:t>
      </w:r>
    </w:p>
    <w:p w14:paraId="3F23F25B">
      <w:pPr>
        <w:widowControl/>
        <w:spacing w:before="0" w:beforeLines="0" w:beforeAutospacing="0" w:after="0" w:afterLines="0" w:afterAutospacing="0" w:line="240" w:lineRule="auto"/>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val="0"/>
          <w:sz w:val="32"/>
          <w:szCs w:val="32"/>
        </w:rPr>
        <w:t>3、城乡社区支出（类）国有土地使用权出让收入对应专项债务收入安排的支出（款）棚户区改造支出（项）：支出决算数为225,400.00万元，比上年决算增加225,400.00万元，增长100.00%，主要原因是：</w:t>
      </w:r>
      <w:r>
        <w:rPr>
          <w:rFonts w:hint="default" w:ascii="Times New Roman" w:hAnsi="Times New Roman" w:eastAsia="仿宋_GB2312" w:cs="Times New Roman"/>
          <w:b w:val="0"/>
          <w:sz w:val="32"/>
          <w:szCs w:val="32"/>
          <w:lang w:eastAsia="zh-CN"/>
        </w:rPr>
        <w:t>本年度增加使用本科目支付老城区棚改项目政府购买服务费。</w:t>
      </w:r>
    </w:p>
    <w:p w14:paraId="7DEC5EFB">
      <w:pPr>
        <w:ind w:firstLine="640" w:firstLineChars="200"/>
        <w:outlineLvl w:val="1"/>
        <w:rPr>
          <w:rFonts w:hint="default" w:ascii="Times New Roman" w:hAnsi="Times New Roman" w:eastAsia="黑体" w:cs="Times New Roman"/>
          <w:bCs/>
          <w:kern w:val="0"/>
          <w:sz w:val="32"/>
          <w:szCs w:val="32"/>
        </w:rPr>
      </w:pPr>
      <w:bookmarkStart w:id="25" w:name="_Toc5563"/>
      <w:r>
        <w:rPr>
          <w:rFonts w:hint="default" w:ascii="Times New Roman" w:hAnsi="Times New Roman" w:eastAsia="黑体" w:cs="Times New Roman"/>
          <w:bCs/>
          <w:kern w:val="0"/>
          <w:sz w:val="32"/>
          <w:szCs w:val="32"/>
        </w:rPr>
        <w:t>八、国有资本经营预算财政拨款收入支出决算情况说明</w:t>
      </w:r>
      <w:bookmarkEnd w:id="25"/>
    </w:p>
    <w:p w14:paraId="662006B3">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本单位本年度无国有资本经营预算财政拨款收入、支出及结转和结余，国有资本经营预算财政拨款收入支出决算表为空表。</w:t>
      </w:r>
    </w:p>
    <w:p w14:paraId="769F1334">
      <w:pPr>
        <w:ind w:firstLine="640" w:firstLineChars="200"/>
        <w:outlineLvl w:val="1"/>
        <w:rPr>
          <w:rFonts w:hint="default" w:ascii="Times New Roman" w:hAnsi="Times New Roman" w:eastAsia="黑体" w:cs="Times New Roman"/>
          <w:bCs/>
          <w:kern w:val="0"/>
          <w:sz w:val="32"/>
          <w:szCs w:val="32"/>
        </w:rPr>
      </w:pPr>
      <w:bookmarkStart w:id="26" w:name="_Toc7190"/>
      <w:bookmarkStart w:id="27" w:name="_Toc9161"/>
      <w:r>
        <w:rPr>
          <w:rFonts w:hint="default" w:ascii="Times New Roman" w:hAnsi="Times New Roman" w:eastAsia="黑体" w:cs="Times New Roman"/>
          <w:bCs/>
          <w:kern w:val="0"/>
          <w:sz w:val="32"/>
          <w:szCs w:val="32"/>
        </w:rPr>
        <w:t>九、财政拨款“三公”经费支出决算情况说明</w:t>
      </w:r>
      <w:bookmarkEnd w:id="26"/>
      <w:bookmarkEnd w:id="27"/>
    </w:p>
    <w:p w14:paraId="2536A5EF">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rPr>
        <w:t>2024年度财政拨款“三公”经费支出</w:t>
      </w:r>
      <w:r>
        <w:rPr>
          <w:rFonts w:hint="default" w:ascii="Times New Roman" w:hAnsi="Times New Roman" w:eastAsia="仿宋_GB2312" w:cs="Times New Roman"/>
          <w:b w:val="0"/>
          <w:bCs w:val="0"/>
          <w:sz w:val="32"/>
          <w:szCs w:val="32"/>
          <w:lang w:val="en-US" w:eastAsia="zh-CN"/>
        </w:rPr>
        <w:t>2.70</w:t>
      </w:r>
      <w:r>
        <w:rPr>
          <w:rFonts w:hint="default" w:ascii="Times New Roman" w:hAnsi="Times New Roman" w:eastAsia="仿宋_GB2312" w:cs="Times New Roman"/>
          <w:b w:val="0"/>
          <w:bCs w:val="0"/>
          <w:sz w:val="32"/>
          <w:szCs w:val="32"/>
        </w:rPr>
        <w:t>万元，比</w:t>
      </w:r>
      <w:r>
        <w:rPr>
          <w:rFonts w:hint="default" w:ascii="Times New Roman" w:hAnsi="Times New Roman" w:eastAsia="仿宋_GB2312" w:cs="Times New Roman"/>
          <w:sz w:val="32"/>
          <w:szCs w:val="32"/>
        </w:rPr>
        <w:t>上年减少</w:t>
      </w:r>
      <w:r>
        <w:rPr>
          <w:rFonts w:hint="default" w:ascii="Times New Roman" w:hAnsi="Times New Roman" w:eastAsia="仿宋_GB2312" w:cs="Times New Roman"/>
          <w:sz w:val="32"/>
          <w:szCs w:val="32"/>
          <w:lang w:val="en-US" w:eastAsia="zh-CN"/>
        </w:rPr>
        <w:t>5.28</w:t>
      </w:r>
      <w:r>
        <w:rPr>
          <w:rFonts w:hint="default" w:ascii="Times New Roman" w:hAnsi="Times New Roman" w:eastAsia="仿宋_GB2312" w:cs="Times New Roman"/>
          <w:sz w:val="32"/>
          <w:szCs w:val="32"/>
        </w:rPr>
        <w:t>万元，下降</w:t>
      </w:r>
      <w:r>
        <w:rPr>
          <w:rFonts w:hint="default" w:ascii="Times New Roman" w:hAnsi="Times New Roman" w:eastAsia="仿宋_GB2312" w:cs="Times New Roman"/>
          <w:sz w:val="32"/>
          <w:szCs w:val="32"/>
          <w:lang w:val="en-US" w:eastAsia="zh-CN"/>
        </w:rPr>
        <w:t>66.17</w:t>
      </w:r>
      <w:r>
        <w:rPr>
          <w:rFonts w:hint="default" w:ascii="Times New Roman" w:hAnsi="Times New Roman" w:eastAsia="仿宋_GB2312" w:cs="Times New Roman"/>
          <w:sz w:val="32"/>
          <w:szCs w:val="32"/>
        </w:rPr>
        <w:t>%，主要原因是：</w:t>
      </w:r>
      <w:r>
        <w:rPr>
          <w:rFonts w:hint="default" w:ascii="Times New Roman" w:hAnsi="Times New Roman" w:eastAsia="仿宋_GB2312" w:cs="Times New Roman"/>
          <w:sz w:val="32"/>
          <w:szCs w:val="32"/>
          <w:lang w:eastAsia="zh-CN"/>
        </w:rPr>
        <w:t>我单位本年度减少了</w:t>
      </w:r>
      <w:r>
        <w:rPr>
          <w:rFonts w:hint="default" w:ascii="Times New Roman" w:hAnsi="Times New Roman" w:eastAsia="仿宋_GB2312" w:cs="Times New Roman"/>
          <w:sz w:val="32"/>
          <w:szCs w:val="32"/>
          <w:lang w:val="en-US" w:eastAsia="zh-CN"/>
        </w:rPr>
        <w:t>3辆公务用车编制，因此预算支出较上年下降</w:t>
      </w:r>
      <w:r>
        <w:rPr>
          <w:rFonts w:hint="default" w:ascii="Times New Roman" w:hAnsi="Times New Roman" w:eastAsia="仿宋_GB2312" w:cs="Times New Roman"/>
          <w:sz w:val="32"/>
          <w:szCs w:val="32"/>
        </w:rPr>
        <w:t>。其中：因公出国（境）费支出</w:t>
      </w:r>
      <w:r>
        <w:rPr>
          <w:rFonts w:hint="default" w:ascii="Times New Roman" w:hAnsi="Times New Roman" w:eastAsia="仿宋_GB2312" w:cs="Times New Roman"/>
          <w:sz w:val="32"/>
          <w:szCs w:val="32"/>
          <w:lang w:val="en-US" w:eastAsia="zh-CN"/>
        </w:rPr>
        <w:t>0.00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0.00</w:t>
      </w:r>
      <w:r>
        <w:rPr>
          <w:rFonts w:hint="default" w:ascii="Times New Roman" w:hAnsi="Times New Roman" w:eastAsia="仿宋_GB2312" w:cs="Times New Roman"/>
          <w:sz w:val="32"/>
          <w:szCs w:val="32"/>
        </w:rPr>
        <w:t>%，比上年</w:t>
      </w:r>
      <w:r>
        <w:rPr>
          <w:rFonts w:hint="default" w:ascii="Times New Roman" w:hAnsi="Times New Roman" w:eastAsia="仿宋_GB2312" w:cs="Times New Roman"/>
          <w:sz w:val="32"/>
          <w:szCs w:val="32"/>
          <w:lang w:eastAsia="zh-CN"/>
        </w:rPr>
        <w:t>相比无变化，主要原因是：我单位无因公出国（境）费；</w:t>
      </w:r>
      <w:r>
        <w:rPr>
          <w:rFonts w:hint="default" w:ascii="Times New Roman" w:hAnsi="Times New Roman" w:eastAsia="仿宋_GB2312" w:cs="Times New Roman"/>
          <w:sz w:val="32"/>
          <w:szCs w:val="32"/>
        </w:rPr>
        <w:t>公务用车购置及运行维护费支出</w:t>
      </w:r>
      <w:r>
        <w:rPr>
          <w:rFonts w:hint="default" w:ascii="Times New Roman" w:hAnsi="Times New Roman" w:eastAsia="仿宋_GB2312" w:cs="Times New Roman"/>
          <w:sz w:val="32"/>
          <w:szCs w:val="32"/>
          <w:lang w:val="en-US" w:eastAsia="zh-CN"/>
        </w:rPr>
        <w:t>2.70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100.00</w:t>
      </w:r>
      <w:r>
        <w:rPr>
          <w:rFonts w:hint="default" w:ascii="Times New Roman" w:hAnsi="Times New Roman" w:eastAsia="仿宋_GB2312" w:cs="Times New Roman"/>
          <w:sz w:val="32"/>
          <w:szCs w:val="32"/>
        </w:rPr>
        <w:t>%，比上年减少</w:t>
      </w:r>
      <w:r>
        <w:rPr>
          <w:rFonts w:hint="default" w:ascii="Times New Roman" w:hAnsi="Times New Roman" w:eastAsia="仿宋_GB2312" w:cs="Times New Roman"/>
          <w:sz w:val="32"/>
          <w:szCs w:val="32"/>
          <w:lang w:val="en-US" w:eastAsia="zh-CN"/>
        </w:rPr>
        <w:t>5.28</w:t>
      </w:r>
      <w:r>
        <w:rPr>
          <w:rFonts w:hint="default" w:ascii="Times New Roman" w:hAnsi="Times New Roman" w:eastAsia="仿宋_GB2312" w:cs="Times New Roman"/>
          <w:sz w:val="32"/>
          <w:szCs w:val="32"/>
        </w:rPr>
        <w:t>万元，下降</w:t>
      </w:r>
      <w:r>
        <w:rPr>
          <w:rFonts w:hint="default" w:ascii="Times New Roman" w:hAnsi="Times New Roman" w:eastAsia="仿宋_GB2312" w:cs="Times New Roman"/>
          <w:sz w:val="32"/>
          <w:szCs w:val="32"/>
          <w:lang w:val="en-US" w:eastAsia="zh-CN"/>
        </w:rPr>
        <w:t>66.17</w:t>
      </w:r>
      <w:r>
        <w:rPr>
          <w:rFonts w:hint="default" w:ascii="Times New Roman" w:hAnsi="Times New Roman" w:eastAsia="仿宋_GB2312" w:cs="Times New Roman"/>
          <w:sz w:val="32"/>
          <w:szCs w:val="32"/>
        </w:rPr>
        <w:t>%，主要原因是：</w:t>
      </w:r>
      <w:r>
        <w:rPr>
          <w:rFonts w:hint="default" w:ascii="Times New Roman" w:hAnsi="Times New Roman" w:eastAsia="仿宋_GB2312" w:cs="Times New Roman"/>
          <w:sz w:val="32"/>
          <w:szCs w:val="32"/>
          <w:lang w:eastAsia="zh-CN"/>
        </w:rPr>
        <w:t>我单位本年度减少了</w:t>
      </w:r>
      <w:r>
        <w:rPr>
          <w:rFonts w:hint="default" w:ascii="Times New Roman" w:hAnsi="Times New Roman" w:eastAsia="仿宋_GB2312" w:cs="Times New Roman"/>
          <w:sz w:val="32"/>
          <w:szCs w:val="32"/>
          <w:lang w:val="en-US" w:eastAsia="zh-CN"/>
        </w:rPr>
        <w:t>3辆公务用车编制，因此预算支出较上年下降</w:t>
      </w:r>
      <w:r>
        <w:rPr>
          <w:rFonts w:hint="default" w:ascii="Times New Roman" w:hAnsi="Times New Roman" w:eastAsia="仿宋_GB2312" w:cs="Times New Roman"/>
          <w:sz w:val="32"/>
          <w:szCs w:val="32"/>
        </w:rPr>
        <w:t>；公务接待费支出</w:t>
      </w:r>
      <w:r>
        <w:rPr>
          <w:rFonts w:hint="default" w:ascii="Times New Roman" w:hAnsi="Times New Roman" w:eastAsia="仿宋_GB2312" w:cs="Times New Roman"/>
          <w:sz w:val="32"/>
          <w:szCs w:val="32"/>
          <w:lang w:val="en-US" w:eastAsia="zh-CN"/>
        </w:rPr>
        <w:t>0.00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与上年相比无变化</w:t>
      </w:r>
      <w:r>
        <w:rPr>
          <w:rFonts w:hint="default" w:ascii="Times New Roman" w:hAnsi="Times New Roman" w:eastAsia="仿宋_GB2312" w:cs="Times New Roman"/>
          <w:sz w:val="32"/>
          <w:szCs w:val="32"/>
        </w:rPr>
        <w:t>，主要原因是：</w:t>
      </w:r>
      <w:r>
        <w:rPr>
          <w:rFonts w:hint="default" w:ascii="Times New Roman" w:hAnsi="Times New Roman" w:eastAsia="仿宋_GB2312" w:cs="Times New Roman"/>
          <w:sz w:val="32"/>
          <w:szCs w:val="32"/>
          <w:lang w:eastAsia="zh-CN"/>
        </w:rPr>
        <w:t>我单位无公务接待费</w:t>
      </w:r>
      <w:r>
        <w:rPr>
          <w:rFonts w:hint="default" w:ascii="Times New Roman" w:hAnsi="Times New Roman" w:eastAsia="仿宋_GB2312" w:cs="Times New Roman"/>
          <w:sz w:val="32"/>
          <w:szCs w:val="32"/>
        </w:rPr>
        <w:t>。</w:t>
      </w:r>
    </w:p>
    <w:p w14:paraId="353D0931">
      <w:pPr>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具体情况如下：</w:t>
      </w:r>
    </w:p>
    <w:p w14:paraId="24322240">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因公出国（境）费支出</w:t>
      </w:r>
      <w:r>
        <w:rPr>
          <w:rFonts w:hint="default" w:ascii="Times New Roman" w:hAnsi="Times New Roman" w:eastAsia="仿宋_GB2312" w:cs="Times New Roman"/>
          <w:sz w:val="32"/>
          <w:szCs w:val="32"/>
          <w:lang w:val="en-US" w:eastAsia="zh-CN"/>
        </w:rPr>
        <w:t>0.00</w:t>
      </w:r>
      <w:r>
        <w:rPr>
          <w:rFonts w:hint="default" w:ascii="Times New Roman" w:hAnsi="Times New Roman" w:eastAsia="仿宋_GB2312" w:cs="Times New Roman"/>
          <w:sz w:val="32"/>
          <w:szCs w:val="32"/>
        </w:rPr>
        <w:t>万元，开支内容包括</w:t>
      </w:r>
      <w:r>
        <w:rPr>
          <w:rFonts w:hint="default" w:ascii="Times New Roman" w:hAnsi="Times New Roman" w:eastAsia="仿宋_GB2312" w:cs="Times New Roman"/>
          <w:sz w:val="32"/>
          <w:szCs w:val="32"/>
          <w:lang w:eastAsia="zh-CN"/>
        </w:rPr>
        <w:t>我单位无因公出国（境）费</w:t>
      </w:r>
      <w:r>
        <w:rPr>
          <w:rFonts w:hint="default" w:ascii="Times New Roman" w:hAnsi="Times New Roman" w:eastAsia="仿宋_GB2312" w:cs="Times New Roman"/>
          <w:sz w:val="32"/>
          <w:szCs w:val="32"/>
        </w:rPr>
        <w:t>。单位全年安排的因公出国（境）团组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个，因公出国（境）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人次。</w:t>
      </w:r>
    </w:p>
    <w:p w14:paraId="6EC37A4E">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公务用车购置及运行维护费</w:t>
      </w:r>
      <w:r>
        <w:rPr>
          <w:rFonts w:hint="default" w:ascii="Times New Roman" w:hAnsi="Times New Roman" w:eastAsia="仿宋_GB2312" w:cs="Times New Roman"/>
          <w:sz w:val="32"/>
          <w:szCs w:val="32"/>
          <w:lang w:val="en-US" w:eastAsia="zh-CN"/>
        </w:rPr>
        <w:t>2.70</w:t>
      </w:r>
      <w:r>
        <w:rPr>
          <w:rFonts w:hint="default" w:ascii="Times New Roman" w:hAnsi="Times New Roman" w:eastAsia="仿宋_GB2312" w:cs="Times New Roman"/>
          <w:sz w:val="32"/>
          <w:szCs w:val="32"/>
        </w:rPr>
        <w:t>万元，其中：公务用车购置费</w:t>
      </w:r>
      <w:r>
        <w:rPr>
          <w:rFonts w:hint="default" w:ascii="Times New Roman" w:hAnsi="Times New Roman" w:eastAsia="仿宋_GB2312" w:cs="Times New Roman"/>
          <w:sz w:val="32"/>
          <w:szCs w:val="32"/>
          <w:lang w:val="en-US" w:eastAsia="zh-CN"/>
        </w:rPr>
        <w:t>0.00</w:t>
      </w:r>
      <w:r>
        <w:rPr>
          <w:rFonts w:hint="default" w:ascii="Times New Roman" w:hAnsi="Times New Roman" w:eastAsia="仿宋_GB2312" w:cs="Times New Roman"/>
          <w:sz w:val="32"/>
          <w:szCs w:val="32"/>
        </w:rPr>
        <w:t>万元，公务用车运行维护费</w:t>
      </w:r>
      <w:r>
        <w:rPr>
          <w:rFonts w:hint="default" w:ascii="Times New Roman" w:hAnsi="Times New Roman" w:eastAsia="仿宋_GB2312" w:cs="Times New Roman"/>
          <w:sz w:val="32"/>
          <w:szCs w:val="32"/>
          <w:lang w:val="en-US" w:eastAsia="zh-CN"/>
        </w:rPr>
        <w:t>2.70</w:t>
      </w:r>
      <w:r>
        <w:rPr>
          <w:rFonts w:hint="default" w:ascii="Times New Roman" w:hAnsi="Times New Roman" w:eastAsia="仿宋_GB2312" w:cs="Times New Roman"/>
          <w:sz w:val="32"/>
          <w:szCs w:val="32"/>
        </w:rPr>
        <w:t>万元。公务用车运行维护费开支内容包括</w:t>
      </w:r>
      <w:r>
        <w:rPr>
          <w:rFonts w:hint="default" w:ascii="Times New Roman" w:hAnsi="Times New Roman" w:eastAsia="仿宋_GB2312" w:cs="Times New Roman"/>
          <w:sz w:val="32"/>
          <w:szCs w:val="32"/>
          <w:lang w:eastAsia="zh-CN"/>
        </w:rPr>
        <w:t>车辆燃油费、车辆保险、车辆维修费及车辆停车过路费</w:t>
      </w:r>
      <w:r>
        <w:rPr>
          <w:rFonts w:hint="default" w:ascii="Times New Roman" w:hAnsi="Times New Roman" w:eastAsia="仿宋_GB2312" w:cs="Times New Roman"/>
          <w:sz w:val="32"/>
          <w:szCs w:val="32"/>
        </w:rPr>
        <w:t>。公务用车购置数</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辆，公务用车保有量</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辆。国有资产占用情况中固定资产车辆</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辆，与公务用车保有量差异原因是：</w:t>
      </w:r>
      <w:r>
        <w:rPr>
          <w:rFonts w:hint="default" w:ascii="Times New Roman" w:hAnsi="Times New Roman" w:eastAsia="仿宋_GB2312" w:cs="Times New Roman"/>
          <w:sz w:val="32"/>
          <w:szCs w:val="32"/>
          <w:lang w:eastAsia="zh-CN"/>
        </w:rPr>
        <w:t>我单位公务用车保有量</w:t>
      </w:r>
      <w:r>
        <w:rPr>
          <w:rFonts w:hint="default" w:ascii="Times New Roman" w:hAnsi="Times New Roman" w:eastAsia="仿宋_GB2312" w:cs="Times New Roman"/>
          <w:sz w:val="32"/>
          <w:szCs w:val="32"/>
          <w:lang w:val="en-US" w:eastAsia="zh-CN"/>
        </w:rPr>
        <w:t>1辆为租赁车辆</w:t>
      </w:r>
      <w:r>
        <w:rPr>
          <w:rFonts w:hint="default" w:ascii="Times New Roman" w:hAnsi="Times New Roman" w:eastAsia="仿宋_GB2312" w:cs="Times New Roman"/>
          <w:sz w:val="32"/>
          <w:szCs w:val="32"/>
        </w:rPr>
        <w:t>。</w:t>
      </w:r>
    </w:p>
    <w:p w14:paraId="086F6497">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0.00</w:t>
      </w:r>
      <w:r>
        <w:rPr>
          <w:rFonts w:hint="default" w:ascii="Times New Roman" w:hAnsi="Times New Roman" w:eastAsia="仿宋_GB2312" w:cs="Times New Roman"/>
          <w:sz w:val="32"/>
          <w:szCs w:val="32"/>
        </w:rPr>
        <w:t>万元，开支内容包括</w:t>
      </w:r>
      <w:r>
        <w:rPr>
          <w:rFonts w:hint="default" w:ascii="Times New Roman" w:hAnsi="Times New Roman" w:eastAsia="仿宋_GB2312" w:cs="Times New Roman"/>
          <w:sz w:val="32"/>
          <w:szCs w:val="32"/>
          <w:lang w:eastAsia="zh-CN"/>
        </w:rPr>
        <w:t>我单位无公务接待费</w:t>
      </w:r>
      <w:r>
        <w:rPr>
          <w:rFonts w:hint="default" w:ascii="Times New Roman" w:hAnsi="Times New Roman" w:eastAsia="仿宋_GB2312" w:cs="Times New Roman"/>
          <w:sz w:val="32"/>
          <w:szCs w:val="32"/>
        </w:rPr>
        <w:t>。单位全年安排的国内公务接待</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批次，</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人次。</w:t>
      </w:r>
    </w:p>
    <w:p w14:paraId="65C7D875">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rPr>
        <w:t>与全年预算相比，财政拨</w:t>
      </w:r>
      <w:r>
        <w:rPr>
          <w:rFonts w:hint="default" w:ascii="Times New Roman" w:hAnsi="Times New Roman" w:eastAsia="仿宋_GB2312" w:cs="Times New Roman"/>
          <w:sz w:val="32"/>
          <w:szCs w:val="32"/>
        </w:rPr>
        <w:t>款“三公”经费支出全年预算数</w:t>
      </w:r>
      <w:r>
        <w:rPr>
          <w:rFonts w:hint="default" w:ascii="Times New Roman" w:hAnsi="Times New Roman" w:eastAsia="仿宋_GB2312" w:cs="Times New Roman"/>
          <w:sz w:val="32"/>
          <w:szCs w:val="32"/>
          <w:lang w:val="en-US" w:eastAsia="zh-CN"/>
        </w:rPr>
        <w:t>3.03</w:t>
      </w:r>
      <w:r>
        <w:rPr>
          <w:rFonts w:hint="default" w:ascii="Times New Roman" w:hAnsi="Times New Roman" w:eastAsia="仿宋_GB2312" w:cs="Times New Roman"/>
          <w:sz w:val="32"/>
          <w:szCs w:val="32"/>
        </w:rPr>
        <w:t>万元，决算数</w:t>
      </w:r>
      <w:r>
        <w:rPr>
          <w:rFonts w:hint="default" w:ascii="Times New Roman" w:hAnsi="Times New Roman" w:eastAsia="仿宋_GB2312" w:cs="Times New Roman"/>
          <w:sz w:val="32"/>
          <w:szCs w:val="32"/>
          <w:lang w:val="en-US" w:eastAsia="zh-CN"/>
        </w:rPr>
        <w:t>2.70</w:t>
      </w:r>
      <w:r>
        <w:rPr>
          <w:rFonts w:hint="default" w:ascii="Times New Roman" w:hAnsi="Times New Roman" w:eastAsia="仿宋_GB2312" w:cs="Times New Roman"/>
          <w:sz w:val="32"/>
          <w:szCs w:val="32"/>
        </w:rPr>
        <w:t>万元，预决算差异率</w:t>
      </w:r>
      <w:r>
        <w:rPr>
          <w:rFonts w:hint="default" w:ascii="Times New Roman" w:hAnsi="Times New Roman" w:eastAsia="仿宋_GB2312" w:cs="Times New Roman"/>
          <w:sz w:val="32"/>
          <w:szCs w:val="32"/>
          <w:lang w:val="en-US" w:eastAsia="zh-CN"/>
        </w:rPr>
        <w:t>-10.89</w:t>
      </w:r>
      <w:r>
        <w:rPr>
          <w:rFonts w:hint="default" w:ascii="Times New Roman" w:hAnsi="Times New Roman" w:eastAsia="仿宋_GB2312" w:cs="Times New Roman"/>
          <w:sz w:val="32"/>
          <w:szCs w:val="32"/>
        </w:rPr>
        <w:t>%，主要原因是：</w:t>
      </w:r>
      <w:r>
        <w:rPr>
          <w:rFonts w:hint="default" w:ascii="Times New Roman" w:hAnsi="Times New Roman" w:eastAsia="仿宋_GB2312" w:cs="Times New Roman"/>
          <w:sz w:val="32"/>
          <w:szCs w:val="32"/>
          <w:lang w:eastAsia="zh-CN"/>
        </w:rPr>
        <w:t>我单位无公务接待费，因此财政收回</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其中：因公出国（境）费全年预算数</w:t>
      </w:r>
      <w:r>
        <w:rPr>
          <w:rFonts w:hint="default" w:ascii="Times New Roman" w:hAnsi="Times New Roman" w:eastAsia="仿宋_GB2312" w:cs="Times New Roman"/>
          <w:sz w:val="32"/>
          <w:szCs w:val="32"/>
          <w:lang w:val="en-US" w:eastAsia="zh-CN"/>
        </w:rPr>
        <w:t>0.00</w:t>
      </w:r>
      <w:r>
        <w:rPr>
          <w:rFonts w:hint="default" w:ascii="Times New Roman" w:hAnsi="Times New Roman" w:eastAsia="仿宋_GB2312" w:cs="Times New Roman"/>
          <w:sz w:val="32"/>
          <w:szCs w:val="32"/>
        </w:rPr>
        <w:t>万元，决算数</w:t>
      </w:r>
      <w:r>
        <w:rPr>
          <w:rFonts w:hint="default" w:ascii="Times New Roman" w:hAnsi="Times New Roman" w:eastAsia="仿宋_GB2312" w:cs="Times New Roman"/>
          <w:sz w:val="32"/>
          <w:szCs w:val="32"/>
          <w:lang w:val="en-US" w:eastAsia="zh-CN"/>
        </w:rPr>
        <w:t>0.00</w:t>
      </w:r>
      <w:r>
        <w:rPr>
          <w:rFonts w:hint="default" w:ascii="Times New Roman" w:hAnsi="Times New Roman" w:eastAsia="仿宋_GB2312" w:cs="Times New Roman"/>
          <w:sz w:val="32"/>
          <w:szCs w:val="32"/>
        </w:rPr>
        <w:t>万元，预决算差异率</w:t>
      </w:r>
      <w:r>
        <w:rPr>
          <w:rFonts w:hint="default" w:ascii="Times New Roman" w:hAnsi="Times New Roman" w:eastAsia="仿宋_GB2312" w:cs="Times New Roman"/>
          <w:sz w:val="32"/>
          <w:szCs w:val="32"/>
          <w:lang w:val="en-US" w:eastAsia="zh-CN"/>
        </w:rPr>
        <w:t>0.00</w:t>
      </w:r>
      <w:r>
        <w:rPr>
          <w:rFonts w:hint="default" w:ascii="Times New Roman" w:hAnsi="Times New Roman" w:eastAsia="仿宋_GB2312" w:cs="Times New Roman"/>
          <w:sz w:val="32"/>
          <w:szCs w:val="32"/>
        </w:rPr>
        <w:t>%，主要原因是：</w:t>
      </w:r>
      <w:r>
        <w:rPr>
          <w:rFonts w:hint="default" w:ascii="Times New Roman" w:hAnsi="Times New Roman" w:eastAsia="仿宋_GB2312" w:cs="Times New Roman"/>
          <w:sz w:val="32"/>
          <w:szCs w:val="32"/>
          <w:lang w:eastAsia="zh-CN"/>
        </w:rPr>
        <w:t>我单位无因公出国（境）费</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公务用车购置</w:t>
      </w:r>
      <w:r>
        <w:rPr>
          <w:rFonts w:hint="default" w:ascii="Times New Roman" w:hAnsi="Times New Roman" w:eastAsia="仿宋_GB2312" w:cs="Times New Roman"/>
          <w:sz w:val="32"/>
          <w:szCs w:val="32"/>
        </w:rPr>
        <w:t>费全年预算数</w:t>
      </w:r>
      <w:r>
        <w:rPr>
          <w:rFonts w:hint="default" w:ascii="Times New Roman" w:hAnsi="Times New Roman" w:eastAsia="仿宋_GB2312" w:cs="Times New Roman"/>
          <w:sz w:val="32"/>
          <w:szCs w:val="32"/>
          <w:lang w:val="en-US" w:eastAsia="zh-CN"/>
        </w:rPr>
        <w:t>0.00</w:t>
      </w:r>
      <w:r>
        <w:rPr>
          <w:rFonts w:hint="default" w:ascii="Times New Roman" w:hAnsi="Times New Roman" w:eastAsia="仿宋_GB2312" w:cs="Times New Roman"/>
          <w:sz w:val="32"/>
          <w:szCs w:val="32"/>
        </w:rPr>
        <w:t>万元，决算数</w:t>
      </w:r>
      <w:r>
        <w:rPr>
          <w:rFonts w:hint="default" w:ascii="Times New Roman" w:hAnsi="Times New Roman" w:eastAsia="仿宋_GB2312" w:cs="Times New Roman"/>
          <w:sz w:val="32"/>
          <w:szCs w:val="32"/>
          <w:lang w:val="en-US" w:eastAsia="zh-CN"/>
        </w:rPr>
        <w:t>0.00</w:t>
      </w:r>
      <w:r>
        <w:rPr>
          <w:rFonts w:hint="default" w:ascii="Times New Roman" w:hAnsi="Times New Roman" w:eastAsia="仿宋_GB2312" w:cs="Times New Roman"/>
          <w:sz w:val="32"/>
          <w:szCs w:val="32"/>
        </w:rPr>
        <w:t>万元，预决算差异率</w:t>
      </w:r>
      <w:r>
        <w:rPr>
          <w:rFonts w:hint="default" w:ascii="Times New Roman" w:hAnsi="Times New Roman" w:eastAsia="仿宋_GB2312" w:cs="Times New Roman"/>
          <w:sz w:val="32"/>
          <w:szCs w:val="32"/>
          <w:lang w:val="en-US" w:eastAsia="zh-CN"/>
        </w:rPr>
        <w:t>0.00</w:t>
      </w:r>
      <w:r>
        <w:rPr>
          <w:rFonts w:hint="default" w:ascii="Times New Roman" w:hAnsi="Times New Roman" w:eastAsia="仿宋_GB2312" w:cs="Times New Roman"/>
          <w:sz w:val="32"/>
          <w:szCs w:val="32"/>
        </w:rPr>
        <w:t>%，主要原因是：</w:t>
      </w:r>
      <w:r>
        <w:rPr>
          <w:rFonts w:hint="default" w:ascii="Times New Roman" w:hAnsi="Times New Roman" w:eastAsia="仿宋_GB2312" w:cs="Times New Roman"/>
          <w:sz w:val="32"/>
          <w:szCs w:val="32"/>
          <w:lang w:eastAsia="zh-CN"/>
        </w:rPr>
        <w:t>我单位无公务用车购置费</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公务用车运行费全年</w:t>
      </w:r>
      <w:r>
        <w:rPr>
          <w:rFonts w:hint="default" w:ascii="Times New Roman" w:hAnsi="Times New Roman" w:eastAsia="仿宋_GB2312" w:cs="Times New Roman"/>
          <w:sz w:val="32"/>
          <w:szCs w:val="32"/>
        </w:rPr>
        <w:t>预算数</w:t>
      </w:r>
      <w:r>
        <w:rPr>
          <w:rFonts w:hint="default" w:ascii="Times New Roman" w:hAnsi="Times New Roman" w:eastAsia="仿宋_GB2312" w:cs="Times New Roman"/>
          <w:sz w:val="32"/>
          <w:szCs w:val="32"/>
          <w:lang w:val="en-US" w:eastAsia="zh-CN"/>
        </w:rPr>
        <w:t>2.70</w:t>
      </w:r>
      <w:r>
        <w:rPr>
          <w:rFonts w:hint="default" w:ascii="Times New Roman" w:hAnsi="Times New Roman" w:eastAsia="仿宋_GB2312" w:cs="Times New Roman"/>
          <w:sz w:val="32"/>
          <w:szCs w:val="32"/>
        </w:rPr>
        <w:t>万元，决算数</w:t>
      </w:r>
      <w:r>
        <w:rPr>
          <w:rFonts w:hint="default" w:ascii="Times New Roman" w:hAnsi="Times New Roman" w:eastAsia="仿宋_GB2312" w:cs="Times New Roman"/>
          <w:sz w:val="32"/>
          <w:szCs w:val="32"/>
          <w:lang w:val="en-US" w:eastAsia="zh-CN"/>
        </w:rPr>
        <w:t>2.70</w:t>
      </w:r>
      <w:r>
        <w:rPr>
          <w:rFonts w:hint="default" w:ascii="Times New Roman" w:hAnsi="Times New Roman" w:eastAsia="仿宋_GB2312" w:cs="Times New Roman"/>
          <w:sz w:val="32"/>
          <w:szCs w:val="32"/>
        </w:rPr>
        <w:t>万元，预决算差异率</w:t>
      </w:r>
      <w:r>
        <w:rPr>
          <w:rFonts w:hint="default" w:ascii="Times New Roman" w:hAnsi="Times New Roman" w:eastAsia="仿宋_GB2312" w:cs="Times New Roman"/>
          <w:sz w:val="32"/>
          <w:szCs w:val="32"/>
          <w:lang w:val="en-US" w:eastAsia="zh-CN"/>
        </w:rPr>
        <w:t>0.00</w:t>
      </w:r>
      <w:r>
        <w:rPr>
          <w:rFonts w:hint="default" w:ascii="Times New Roman" w:hAnsi="Times New Roman" w:eastAsia="仿宋_GB2312" w:cs="Times New Roman"/>
          <w:sz w:val="32"/>
          <w:szCs w:val="32"/>
        </w:rPr>
        <w:t>%，主要原因是：</w:t>
      </w:r>
      <w:r>
        <w:rPr>
          <w:rFonts w:hint="default" w:ascii="Times New Roman" w:hAnsi="Times New Roman" w:eastAsia="仿宋_GB2312" w:cs="Times New Roman"/>
          <w:sz w:val="32"/>
          <w:szCs w:val="32"/>
          <w:lang w:eastAsia="zh-CN"/>
        </w:rPr>
        <w:t>我单位严格按照预算数控制</w:t>
      </w:r>
      <w:r>
        <w:rPr>
          <w:rFonts w:hint="eastAsia" w:eastAsia="仿宋_GB2312" w:cs="Times New Roman"/>
          <w:sz w:val="32"/>
          <w:szCs w:val="32"/>
          <w:lang w:eastAsia="zh-CN"/>
        </w:rPr>
        <w:t>“</w:t>
      </w:r>
      <w:r>
        <w:rPr>
          <w:rFonts w:hint="default" w:ascii="Times New Roman" w:hAnsi="Times New Roman" w:eastAsia="仿宋_GB2312" w:cs="Times New Roman"/>
          <w:sz w:val="32"/>
          <w:szCs w:val="32"/>
          <w:lang w:eastAsia="zh-CN"/>
        </w:rPr>
        <w:t>三公</w:t>
      </w:r>
      <w:r>
        <w:rPr>
          <w:rFonts w:hint="eastAsia" w:eastAsia="仿宋_GB2312" w:cs="Times New Roman"/>
          <w:sz w:val="32"/>
          <w:szCs w:val="32"/>
          <w:lang w:eastAsia="zh-CN"/>
        </w:rPr>
        <w:t>”</w:t>
      </w:r>
      <w:r>
        <w:rPr>
          <w:rFonts w:hint="default" w:ascii="Times New Roman" w:hAnsi="Times New Roman" w:eastAsia="仿宋_GB2312" w:cs="Times New Roman"/>
          <w:sz w:val="32"/>
          <w:szCs w:val="32"/>
          <w:lang w:eastAsia="zh-CN"/>
        </w:rPr>
        <w:t>经费支出</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公务接待费全年</w:t>
      </w:r>
      <w:r>
        <w:rPr>
          <w:rFonts w:hint="default" w:ascii="Times New Roman" w:hAnsi="Times New Roman" w:eastAsia="仿宋_GB2312" w:cs="Times New Roman"/>
          <w:sz w:val="32"/>
          <w:szCs w:val="32"/>
        </w:rPr>
        <w:t>预算数</w:t>
      </w:r>
      <w:r>
        <w:rPr>
          <w:rFonts w:hint="default" w:ascii="Times New Roman" w:hAnsi="Times New Roman" w:eastAsia="仿宋_GB2312" w:cs="Times New Roman"/>
          <w:sz w:val="32"/>
          <w:szCs w:val="32"/>
          <w:lang w:val="en-US" w:eastAsia="zh-CN"/>
        </w:rPr>
        <w:t>0.33</w:t>
      </w:r>
      <w:r>
        <w:rPr>
          <w:rFonts w:hint="default" w:ascii="Times New Roman" w:hAnsi="Times New Roman" w:eastAsia="仿宋_GB2312" w:cs="Times New Roman"/>
          <w:sz w:val="32"/>
          <w:szCs w:val="32"/>
        </w:rPr>
        <w:t>万元，决算数</w:t>
      </w:r>
      <w:r>
        <w:rPr>
          <w:rFonts w:hint="default" w:ascii="Times New Roman" w:hAnsi="Times New Roman" w:eastAsia="仿宋_GB2312" w:cs="Times New Roman"/>
          <w:sz w:val="32"/>
          <w:szCs w:val="32"/>
          <w:lang w:val="en-US" w:eastAsia="zh-CN"/>
        </w:rPr>
        <w:t>0.00</w:t>
      </w:r>
      <w:r>
        <w:rPr>
          <w:rFonts w:hint="default" w:ascii="Times New Roman" w:hAnsi="Times New Roman" w:eastAsia="仿宋_GB2312" w:cs="Times New Roman"/>
          <w:sz w:val="32"/>
          <w:szCs w:val="32"/>
        </w:rPr>
        <w:t>万元，预决算差异率</w:t>
      </w:r>
      <w:r>
        <w:rPr>
          <w:rFonts w:hint="default" w:ascii="Times New Roman" w:hAnsi="Times New Roman" w:eastAsia="仿宋_GB2312" w:cs="Times New Roman"/>
          <w:sz w:val="32"/>
          <w:szCs w:val="32"/>
          <w:lang w:val="en-US" w:eastAsia="zh-CN"/>
        </w:rPr>
        <w:t>-100.00</w:t>
      </w:r>
      <w:r>
        <w:rPr>
          <w:rFonts w:hint="default" w:ascii="Times New Roman" w:hAnsi="Times New Roman" w:eastAsia="仿宋_GB2312" w:cs="Times New Roman"/>
          <w:sz w:val="32"/>
          <w:szCs w:val="32"/>
        </w:rPr>
        <w:t>%，主要原因是</w:t>
      </w:r>
      <w:r>
        <w:rPr>
          <w:rFonts w:hint="default" w:ascii="Times New Roman" w:hAnsi="Times New Roman" w:eastAsia="仿宋_GB2312" w:cs="Times New Roman"/>
          <w:sz w:val="32"/>
          <w:szCs w:val="32"/>
          <w:lang w:eastAsia="zh-CN"/>
        </w:rPr>
        <w:t>我单位无公务接待</w:t>
      </w:r>
      <w:r>
        <w:rPr>
          <w:rFonts w:hint="eastAsia" w:eastAsia="仿宋_GB2312" w:cs="Times New Roman"/>
          <w:sz w:val="32"/>
          <w:szCs w:val="32"/>
          <w:lang w:eastAsia="zh-CN"/>
        </w:rPr>
        <w:t>支出</w:t>
      </w:r>
      <w:bookmarkStart w:id="59" w:name="_GoBack"/>
      <w:bookmarkEnd w:id="59"/>
      <w:r>
        <w:rPr>
          <w:rFonts w:hint="default" w:ascii="Times New Roman" w:hAnsi="Times New Roman" w:eastAsia="仿宋_GB2312" w:cs="Times New Roman"/>
          <w:sz w:val="32"/>
          <w:szCs w:val="32"/>
          <w:lang w:eastAsia="zh-CN"/>
        </w:rPr>
        <w:t>，因此财政收回</w:t>
      </w:r>
      <w:r>
        <w:rPr>
          <w:rFonts w:hint="default" w:ascii="Times New Roman" w:hAnsi="Times New Roman" w:eastAsia="仿宋_GB2312" w:cs="Times New Roman"/>
          <w:sz w:val="32"/>
          <w:szCs w:val="32"/>
        </w:rPr>
        <w:t>。</w:t>
      </w:r>
    </w:p>
    <w:p w14:paraId="2500F2F7">
      <w:pPr>
        <w:ind w:firstLine="640" w:firstLineChars="200"/>
        <w:outlineLvl w:val="1"/>
        <w:rPr>
          <w:rFonts w:hint="default" w:ascii="Times New Roman" w:hAnsi="Times New Roman" w:eastAsia="黑体" w:cs="Times New Roman"/>
          <w:bCs/>
          <w:kern w:val="0"/>
          <w:sz w:val="32"/>
          <w:szCs w:val="32"/>
        </w:rPr>
      </w:pPr>
      <w:bookmarkStart w:id="28" w:name="_Toc7314"/>
      <w:bookmarkStart w:id="29" w:name="_Toc16395"/>
      <w:r>
        <w:rPr>
          <w:rFonts w:hint="default" w:ascii="Times New Roman" w:hAnsi="Times New Roman" w:eastAsia="黑体" w:cs="Times New Roman"/>
          <w:bCs/>
          <w:kern w:val="0"/>
          <w:sz w:val="32"/>
          <w:szCs w:val="32"/>
        </w:rPr>
        <w:t>十、其他重要事项的情况说明</w:t>
      </w:r>
      <w:bookmarkEnd w:id="28"/>
      <w:bookmarkEnd w:id="29"/>
    </w:p>
    <w:p w14:paraId="58418CDE">
      <w:pPr>
        <w:ind w:firstLine="640" w:firstLineChars="200"/>
        <w:outlineLvl w:val="2"/>
        <w:rPr>
          <w:rFonts w:hint="default" w:ascii="Times New Roman" w:hAnsi="Times New Roman" w:eastAsia="黑体" w:cs="Times New Roman"/>
          <w:sz w:val="32"/>
          <w:szCs w:val="32"/>
        </w:rPr>
      </w:pPr>
      <w:bookmarkStart w:id="30" w:name="_Toc13105"/>
      <w:bookmarkStart w:id="31" w:name="_Toc21748"/>
      <w:r>
        <w:rPr>
          <w:rFonts w:hint="default" w:ascii="Times New Roman" w:hAnsi="Times New Roman" w:eastAsia="黑体" w:cs="Times New Roman"/>
          <w:sz w:val="32"/>
          <w:szCs w:val="32"/>
        </w:rPr>
        <w:t>（一）机关运行经费及公用经费支出情况</w:t>
      </w:r>
      <w:bookmarkEnd w:id="30"/>
      <w:bookmarkEnd w:id="31"/>
    </w:p>
    <w:p w14:paraId="10D1C33B">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w:t>
      </w:r>
      <w:r>
        <w:rPr>
          <w:rFonts w:hint="default" w:ascii="Times New Roman" w:hAnsi="Times New Roman" w:eastAsia="仿宋_GB2312" w:cs="Times New Roman"/>
          <w:b w:val="0"/>
          <w:sz w:val="32"/>
          <w:szCs w:val="32"/>
        </w:rPr>
        <w:t>乌鲁木齐经济技术开发区（乌鲁木齐市头屯河区）房屋征收与补偿管理办公室（土地征收管理办公室）</w:t>
      </w:r>
      <w:r>
        <w:rPr>
          <w:rFonts w:hint="default" w:ascii="Times New Roman" w:hAnsi="Times New Roman" w:eastAsia="仿宋_GB2312" w:cs="Times New Roman"/>
          <w:sz w:val="32"/>
          <w:szCs w:val="32"/>
        </w:rPr>
        <w:t>（事业单位）公用经费支出</w:t>
      </w:r>
      <w:r>
        <w:rPr>
          <w:rFonts w:hint="default" w:ascii="Times New Roman" w:hAnsi="Times New Roman" w:eastAsia="仿宋_GB2312" w:cs="Times New Roman"/>
          <w:sz w:val="32"/>
          <w:szCs w:val="32"/>
          <w:lang w:val="en-US" w:eastAsia="zh-CN"/>
        </w:rPr>
        <w:t>24.98</w:t>
      </w:r>
      <w:r>
        <w:rPr>
          <w:rFonts w:hint="default" w:ascii="Times New Roman" w:hAnsi="Times New Roman" w:eastAsia="仿宋_GB2312" w:cs="Times New Roman"/>
          <w:sz w:val="32"/>
          <w:szCs w:val="32"/>
        </w:rPr>
        <w:t>万元，比上年增加</w:t>
      </w:r>
      <w:r>
        <w:rPr>
          <w:rFonts w:hint="default" w:ascii="Times New Roman" w:hAnsi="Times New Roman" w:eastAsia="仿宋_GB2312" w:cs="Times New Roman"/>
          <w:sz w:val="32"/>
          <w:szCs w:val="32"/>
          <w:lang w:val="en-US" w:eastAsia="zh-CN"/>
        </w:rPr>
        <w:t>3.39万</w:t>
      </w:r>
      <w:r>
        <w:rPr>
          <w:rFonts w:hint="default" w:ascii="Times New Roman" w:hAnsi="Times New Roman" w:eastAsia="仿宋_GB2312" w:cs="Times New Roman"/>
          <w:sz w:val="32"/>
          <w:szCs w:val="32"/>
        </w:rPr>
        <w:t>元，增长</w:t>
      </w:r>
      <w:r>
        <w:rPr>
          <w:rFonts w:hint="default" w:ascii="Times New Roman" w:hAnsi="Times New Roman" w:eastAsia="仿宋_GB2312" w:cs="Times New Roman"/>
          <w:sz w:val="32"/>
          <w:szCs w:val="32"/>
          <w:lang w:val="en-US" w:eastAsia="zh-CN"/>
        </w:rPr>
        <w:t>15.70</w:t>
      </w:r>
      <w:r>
        <w:rPr>
          <w:rFonts w:hint="default" w:ascii="Times New Roman" w:hAnsi="Times New Roman" w:eastAsia="仿宋_GB2312" w:cs="Times New Roman"/>
          <w:sz w:val="32"/>
          <w:szCs w:val="32"/>
        </w:rPr>
        <w:t>%，主要原因是：</w:t>
      </w:r>
      <w:r>
        <w:rPr>
          <w:rFonts w:hint="default" w:ascii="Times New Roman" w:hAnsi="Times New Roman" w:eastAsia="仿宋_GB2312" w:cs="Times New Roman"/>
          <w:sz w:val="32"/>
          <w:szCs w:val="32"/>
          <w:lang w:eastAsia="zh-CN"/>
        </w:rPr>
        <w:t>本年度我单位为在职人员安排了健康体检服务并参加了专题研讨及培训活动，相关费用列支导致公用经费有所增加</w:t>
      </w:r>
      <w:r>
        <w:rPr>
          <w:rFonts w:hint="default" w:ascii="Times New Roman" w:hAnsi="Times New Roman" w:eastAsia="仿宋_GB2312" w:cs="Times New Roman"/>
          <w:sz w:val="32"/>
          <w:szCs w:val="32"/>
        </w:rPr>
        <w:t>。</w:t>
      </w:r>
    </w:p>
    <w:p w14:paraId="206330E6">
      <w:pPr>
        <w:ind w:firstLine="640" w:firstLineChars="200"/>
        <w:outlineLvl w:val="2"/>
        <w:rPr>
          <w:rFonts w:hint="default" w:ascii="Times New Roman" w:hAnsi="Times New Roman" w:eastAsia="黑体" w:cs="Times New Roman"/>
          <w:sz w:val="32"/>
          <w:szCs w:val="32"/>
        </w:rPr>
      </w:pPr>
      <w:bookmarkStart w:id="32" w:name="_Toc25177"/>
      <w:bookmarkStart w:id="33" w:name="_Toc26704"/>
      <w:r>
        <w:rPr>
          <w:rFonts w:hint="default" w:ascii="Times New Roman" w:hAnsi="Times New Roman" w:eastAsia="黑体" w:cs="Times New Roman"/>
          <w:sz w:val="32"/>
          <w:szCs w:val="32"/>
        </w:rPr>
        <w:t>（二）政府采购情况</w:t>
      </w:r>
      <w:bookmarkEnd w:id="32"/>
      <w:bookmarkEnd w:id="33"/>
    </w:p>
    <w:p w14:paraId="415E6714">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2024年度政府采购支出总额</w:t>
      </w:r>
      <w:r>
        <w:rPr>
          <w:rFonts w:hint="default" w:ascii="Times New Roman" w:hAnsi="Times New Roman" w:eastAsia="仿宋_GB2312" w:cs="Times New Roman"/>
          <w:sz w:val="32"/>
          <w:szCs w:val="32"/>
          <w:lang w:val="en-US" w:eastAsia="zh-CN"/>
        </w:rPr>
        <w:t>1.86</w:t>
      </w:r>
      <w:r>
        <w:rPr>
          <w:rFonts w:hint="default" w:ascii="Times New Roman" w:hAnsi="Times New Roman" w:eastAsia="仿宋_GB2312" w:cs="Times New Roman"/>
          <w:sz w:val="32"/>
          <w:szCs w:val="32"/>
        </w:rPr>
        <w:t>万元，其中：政府采购货物支出</w:t>
      </w:r>
      <w:r>
        <w:rPr>
          <w:rFonts w:hint="default" w:ascii="Times New Roman" w:hAnsi="Times New Roman" w:eastAsia="仿宋_GB2312" w:cs="Times New Roman"/>
          <w:sz w:val="32"/>
          <w:szCs w:val="32"/>
          <w:lang w:val="en-US" w:eastAsia="zh-CN"/>
        </w:rPr>
        <w:t>0.99</w:t>
      </w:r>
      <w:r>
        <w:rPr>
          <w:rFonts w:hint="default" w:ascii="Times New Roman" w:hAnsi="Times New Roman" w:eastAsia="仿宋_GB2312" w:cs="Times New Roman"/>
          <w:sz w:val="32"/>
          <w:szCs w:val="32"/>
        </w:rPr>
        <w:t>万元、政府采购工程支出</w:t>
      </w:r>
      <w:r>
        <w:rPr>
          <w:rFonts w:hint="default" w:ascii="Times New Roman" w:hAnsi="Times New Roman" w:eastAsia="仿宋_GB2312" w:cs="Times New Roman"/>
          <w:sz w:val="32"/>
          <w:szCs w:val="32"/>
          <w:lang w:val="en-US" w:eastAsia="zh-CN"/>
        </w:rPr>
        <w:t>0.00</w:t>
      </w:r>
      <w:r>
        <w:rPr>
          <w:rFonts w:hint="default" w:ascii="Times New Roman" w:hAnsi="Times New Roman" w:eastAsia="仿宋_GB2312" w:cs="Times New Roman"/>
          <w:sz w:val="32"/>
          <w:szCs w:val="32"/>
        </w:rPr>
        <w:t>万元、政府采购服务支出</w:t>
      </w:r>
      <w:r>
        <w:rPr>
          <w:rFonts w:hint="default" w:ascii="Times New Roman" w:hAnsi="Times New Roman" w:eastAsia="仿宋_GB2312" w:cs="Times New Roman"/>
          <w:sz w:val="32"/>
          <w:szCs w:val="32"/>
          <w:lang w:val="en-US" w:eastAsia="zh-CN"/>
        </w:rPr>
        <w:t>0.87</w:t>
      </w:r>
      <w:r>
        <w:rPr>
          <w:rFonts w:hint="default" w:ascii="Times New Roman" w:hAnsi="Times New Roman" w:eastAsia="仿宋_GB2312" w:cs="Times New Roman"/>
          <w:sz w:val="32"/>
          <w:szCs w:val="32"/>
        </w:rPr>
        <w:t>万元。</w:t>
      </w:r>
    </w:p>
    <w:p w14:paraId="140B9D7E">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授予中小企业合同金额</w:t>
      </w:r>
      <w:r>
        <w:rPr>
          <w:rFonts w:hint="default" w:ascii="Times New Roman" w:hAnsi="Times New Roman" w:eastAsia="仿宋_GB2312" w:cs="Times New Roman"/>
          <w:sz w:val="32"/>
          <w:szCs w:val="32"/>
          <w:lang w:val="en-US" w:eastAsia="zh-CN"/>
        </w:rPr>
        <w:t>1.36</w:t>
      </w:r>
      <w:r>
        <w:rPr>
          <w:rFonts w:hint="default" w:ascii="Times New Roman" w:hAnsi="Times New Roman" w:eastAsia="仿宋_GB2312" w:cs="Times New Roman"/>
          <w:sz w:val="32"/>
          <w:szCs w:val="32"/>
        </w:rPr>
        <w:t>万元，占政府采购支出总额的</w:t>
      </w:r>
      <w:r>
        <w:rPr>
          <w:rFonts w:hint="default" w:ascii="Times New Roman" w:hAnsi="Times New Roman" w:eastAsia="仿宋_GB2312" w:cs="Times New Roman"/>
          <w:sz w:val="32"/>
          <w:szCs w:val="32"/>
          <w:lang w:val="en-US" w:eastAsia="zh-CN"/>
        </w:rPr>
        <w:t>73.12</w:t>
      </w:r>
      <w:r>
        <w:rPr>
          <w:rFonts w:hint="default" w:ascii="Times New Roman" w:hAnsi="Times New Roman" w:eastAsia="仿宋_GB2312" w:cs="Times New Roman"/>
          <w:sz w:val="32"/>
          <w:szCs w:val="32"/>
        </w:rPr>
        <w:t>%，其中：授予小微企业合同金额</w:t>
      </w:r>
      <w:r>
        <w:rPr>
          <w:rFonts w:hint="default" w:ascii="Times New Roman" w:hAnsi="Times New Roman" w:eastAsia="仿宋_GB2312" w:cs="Times New Roman"/>
          <w:sz w:val="32"/>
          <w:szCs w:val="32"/>
          <w:lang w:val="en-US" w:eastAsia="zh-CN"/>
        </w:rPr>
        <w:t>1.36</w:t>
      </w:r>
      <w:r>
        <w:rPr>
          <w:rFonts w:hint="default" w:ascii="Times New Roman" w:hAnsi="Times New Roman" w:eastAsia="仿宋_GB2312" w:cs="Times New Roman"/>
          <w:sz w:val="32"/>
          <w:szCs w:val="32"/>
        </w:rPr>
        <w:t>万元，占政府采购支出总额的</w:t>
      </w:r>
      <w:r>
        <w:rPr>
          <w:rFonts w:hint="default" w:ascii="Times New Roman" w:hAnsi="Times New Roman" w:eastAsia="仿宋_GB2312" w:cs="Times New Roman"/>
          <w:sz w:val="32"/>
          <w:szCs w:val="32"/>
          <w:lang w:val="en-US" w:eastAsia="zh-CN"/>
        </w:rPr>
        <w:t>73.12</w:t>
      </w:r>
      <w:r>
        <w:rPr>
          <w:rFonts w:hint="default" w:ascii="Times New Roman" w:hAnsi="Times New Roman" w:eastAsia="仿宋_GB2312" w:cs="Times New Roman"/>
          <w:sz w:val="32"/>
          <w:szCs w:val="32"/>
        </w:rPr>
        <w:t>%。</w:t>
      </w:r>
    </w:p>
    <w:p w14:paraId="62B887C7">
      <w:pPr>
        <w:ind w:firstLine="640" w:firstLineChars="200"/>
        <w:outlineLvl w:val="2"/>
        <w:rPr>
          <w:rFonts w:hint="default" w:ascii="Times New Roman" w:hAnsi="Times New Roman" w:eastAsia="黑体" w:cs="Times New Roman"/>
          <w:sz w:val="32"/>
          <w:szCs w:val="32"/>
        </w:rPr>
      </w:pPr>
      <w:bookmarkStart w:id="34" w:name="_Toc4591"/>
      <w:bookmarkStart w:id="35" w:name="_Toc31294"/>
      <w:r>
        <w:rPr>
          <w:rFonts w:hint="default" w:ascii="Times New Roman" w:hAnsi="Times New Roman" w:eastAsia="黑体" w:cs="Times New Roman"/>
          <w:sz w:val="32"/>
          <w:szCs w:val="32"/>
        </w:rPr>
        <w:t>（三）国有资产占用情况说明</w:t>
      </w:r>
      <w:bookmarkEnd w:id="34"/>
      <w:bookmarkEnd w:id="35"/>
    </w:p>
    <w:p w14:paraId="26DF4E7A">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截至2024年12月31日，房屋</w:t>
      </w:r>
      <w:r>
        <w:rPr>
          <w:rFonts w:hint="default" w:ascii="Times New Roman" w:hAnsi="Times New Roman" w:eastAsia="仿宋_GB2312" w:cs="Times New Roman"/>
          <w:sz w:val="32"/>
          <w:szCs w:val="32"/>
          <w:lang w:val="en-US" w:eastAsia="zh-CN"/>
        </w:rPr>
        <w:t>0.00</w:t>
      </w:r>
      <w:r>
        <w:rPr>
          <w:rFonts w:hint="default" w:ascii="Times New Roman" w:hAnsi="Times New Roman" w:eastAsia="仿宋_GB2312" w:cs="Times New Roman"/>
          <w:sz w:val="32"/>
          <w:szCs w:val="32"/>
        </w:rPr>
        <w:t>平方米，价值</w:t>
      </w:r>
      <w:r>
        <w:rPr>
          <w:rFonts w:hint="default" w:ascii="Times New Roman" w:hAnsi="Times New Roman" w:eastAsia="仿宋_GB2312" w:cs="Times New Roman"/>
          <w:sz w:val="32"/>
          <w:szCs w:val="32"/>
          <w:lang w:val="en-US" w:eastAsia="zh-CN"/>
        </w:rPr>
        <w:t>0.00</w:t>
      </w:r>
      <w:r>
        <w:rPr>
          <w:rFonts w:hint="default" w:ascii="Times New Roman" w:hAnsi="Times New Roman" w:eastAsia="仿宋_GB2312" w:cs="Times New Roman"/>
          <w:sz w:val="32"/>
          <w:szCs w:val="32"/>
        </w:rPr>
        <w:t>万元。车辆</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辆，价值</w:t>
      </w:r>
      <w:r>
        <w:rPr>
          <w:rFonts w:hint="default" w:ascii="Times New Roman" w:hAnsi="Times New Roman" w:eastAsia="仿宋_GB2312" w:cs="Times New Roman"/>
          <w:sz w:val="32"/>
          <w:szCs w:val="32"/>
          <w:lang w:val="en-US" w:eastAsia="zh-CN"/>
        </w:rPr>
        <w:t>0.00</w:t>
      </w:r>
      <w:r>
        <w:rPr>
          <w:rFonts w:hint="default" w:ascii="Times New Roman" w:hAnsi="Times New Roman" w:eastAsia="仿宋_GB2312" w:cs="Times New Roman"/>
          <w:sz w:val="32"/>
          <w:szCs w:val="32"/>
        </w:rPr>
        <w:t>万元，其中：副部（省）级及以上领导用车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辆、主要负责人用车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辆、应急保障用车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辆、执法执勤用车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辆、特种专业技术用车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辆、离退休干部服务用车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辆，其他用车主要是</w:t>
      </w:r>
      <w:r>
        <w:rPr>
          <w:rFonts w:hint="default" w:ascii="Times New Roman" w:hAnsi="Times New Roman" w:eastAsia="仿宋_GB2312" w:cs="Times New Roman"/>
          <w:sz w:val="32"/>
          <w:szCs w:val="32"/>
          <w:lang w:eastAsia="zh-CN"/>
        </w:rPr>
        <w:t>：我单位无其他用车</w:t>
      </w:r>
      <w:r>
        <w:rPr>
          <w:rFonts w:hint="default" w:ascii="Times New Roman" w:hAnsi="Times New Roman" w:eastAsia="仿宋_GB2312" w:cs="Times New Roman"/>
          <w:sz w:val="32"/>
          <w:szCs w:val="32"/>
        </w:rPr>
        <w:t>；单价100万元（含）以上设备（不含车辆）</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14:paraId="0CE45DB7">
      <w:pPr>
        <w:ind w:firstLine="640" w:firstLineChars="200"/>
        <w:outlineLvl w:val="1"/>
        <w:rPr>
          <w:rFonts w:hint="default" w:ascii="Times New Roman" w:hAnsi="Times New Roman" w:eastAsia="黑体" w:cs="Times New Roman"/>
          <w:bCs/>
          <w:kern w:val="0"/>
          <w:sz w:val="32"/>
          <w:szCs w:val="32"/>
        </w:rPr>
      </w:pPr>
      <w:bookmarkStart w:id="36" w:name="_Toc435"/>
      <w:bookmarkStart w:id="37" w:name="_Toc17664"/>
      <w:r>
        <w:rPr>
          <w:rFonts w:hint="default" w:ascii="Times New Roman" w:hAnsi="Times New Roman" w:eastAsia="黑体" w:cs="Times New Roman"/>
          <w:bCs/>
          <w:kern w:val="0"/>
          <w:sz w:val="32"/>
          <w:szCs w:val="32"/>
        </w:rPr>
        <w:t>十一、预算绩效的情况说明</w:t>
      </w:r>
      <w:bookmarkEnd w:id="36"/>
      <w:bookmarkEnd w:id="37"/>
    </w:p>
    <w:p w14:paraId="56AE0FA1">
      <w:pPr>
        <w:ind w:firstLine="640" w:firstLineChars="200"/>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sz w:val="32"/>
          <w:szCs w:val="32"/>
        </w:rPr>
        <w:t>根据预算绩效管理要求，</w:t>
      </w:r>
      <w:r>
        <w:rPr>
          <w:rFonts w:hint="eastAsia" w:eastAsia="仿宋_GB2312" w:cs="Times New Roman"/>
          <w:sz w:val="32"/>
          <w:szCs w:val="32"/>
          <w:lang w:val="en-US" w:eastAsia="zh-CN"/>
        </w:rPr>
        <w:t>我</w:t>
      </w:r>
      <w:r>
        <w:rPr>
          <w:rFonts w:hint="default" w:ascii="Times New Roman" w:hAnsi="Times New Roman" w:eastAsia="仿宋_GB2312" w:cs="Times New Roman"/>
          <w:sz w:val="32"/>
          <w:szCs w:val="32"/>
        </w:rPr>
        <w:t>单位2024年度</w:t>
      </w:r>
      <w:r>
        <w:rPr>
          <w:rFonts w:hint="default" w:ascii="Times New Roman" w:hAnsi="Times New Roman" w:eastAsia="仿宋_GB2312" w:cs="Times New Roman"/>
          <w:kern w:val="0"/>
          <w:sz w:val="32"/>
          <w:szCs w:val="32"/>
        </w:rPr>
        <w:t>预算绩效管理形成整体支出绩效自评表</w:t>
      </w:r>
      <w:r>
        <w:rPr>
          <w:rFonts w:hint="default" w:ascii="Times New Roman" w:hAnsi="Times New Roman" w:eastAsia="仿宋_GB2312" w:cs="Times New Roman"/>
          <w:sz w:val="32"/>
          <w:szCs w:val="32"/>
        </w:rPr>
        <w:t>1</w:t>
      </w:r>
      <w:r>
        <w:rPr>
          <w:rFonts w:hint="default" w:ascii="Times New Roman" w:hAnsi="Times New Roman" w:eastAsia="仿宋_GB2312" w:cs="Times New Roman"/>
          <w:kern w:val="0"/>
          <w:sz w:val="32"/>
          <w:szCs w:val="32"/>
        </w:rPr>
        <w:t>个，全年</w:t>
      </w:r>
      <w:r>
        <w:rPr>
          <w:rFonts w:hint="default" w:ascii="Times New Roman" w:hAnsi="Times New Roman" w:eastAsia="仿宋_GB2312" w:cs="Times New Roman"/>
          <w:sz w:val="32"/>
          <w:szCs w:val="32"/>
        </w:rPr>
        <w:t>预算总额</w:t>
      </w:r>
      <w:r>
        <w:rPr>
          <w:rFonts w:hint="default" w:ascii="Times New Roman" w:hAnsi="Times New Roman" w:eastAsia="仿宋_GB2312" w:cs="Times New Roman"/>
          <w:sz w:val="32"/>
          <w:szCs w:val="32"/>
          <w:lang w:val="en-US" w:eastAsia="zh-CN"/>
        </w:rPr>
        <w:t>240252.15</w:t>
      </w:r>
      <w:r>
        <w:rPr>
          <w:rFonts w:hint="default" w:ascii="Times New Roman" w:hAnsi="Times New Roman" w:eastAsia="仿宋_GB2312" w:cs="Times New Roman"/>
          <w:sz w:val="32"/>
          <w:szCs w:val="32"/>
        </w:rPr>
        <w:t>万元，实际执行总额</w:t>
      </w:r>
      <w:r>
        <w:rPr>
          <w:rFonts w:hint="default" w:ascii="Times New Roman" w:hAnsi="Times New Roman" w:eastAsia="仿宋_GB2312" w:cs="Times New Roman"/>
          <w:sz w:val="32"/>
          <w:szCs w:val="32"/>
          <w:lang w:val="en-US" w:eastAsia="zh-CN"/>
        </w:rPr>
        <w:t>239500.70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预算绩效评价项目</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个，全年预算数</w:t>
      </w:r>
      <w:r>
        <w:rPr>
          <w:rFonts w:hint="default" w:ascii="Times New Roman" w:hAnsi="Times New Roman" w:eastAsia="仿宋_GB2312" w:cs="Times New Roman"/>
          <w:sz w:val="32"/>
          <w:szCs w:val="32"/>
          <w:lang w:val="en-US" w:eastAsia="zh-CN"/>
        </w:rPr>
        <w:t>19915.58</w:t>
      </w:r>
      <w:r>
        <w:rPr>
          <w:rFonts w:hint="default" w:ascii="Times New Roman" w:hAnsi="Times New Roman" w:eastAsia="仿宋_GB2312" w:cs="Times New Roman"/>
          <w:sz w:val="32"/>
          <w:szCs w:val="32"/>
        </w:rPr>
        <w:t>万元，全年执行数</w:t>
      </w:r>
      <w:r>
        <w:rPr>
          <w:rFonts w:hint="default" w:ascii="Times New Roman" w:hAnsi="Times New Roman" w:eastAsia="仿宋_GB2312" w:cs="Times New Roman"/>
          <w:sz w:val="32"/>
          <w:szCs w:val="32"/>
          <w:lang w:val="en-US" w:eastAsia="zh-CN"/>
        </w:rPr>
        <w:t>19915.58</w:t>
      </w:r>
      <w:r>
        <w:rPr>
          <w:rFonts w:hint="default" w:ascii="Times New Roman" w:hAnsi="Times New Roman" w:eastAsia="仿宋_GB2312" w:cs="Times New Roman"/>
          <w:sz w:val="32"/>
          <w:szCs w:val="32"/>
        </w:rPr>
        <w:t>万元。预算绩效管理取得的成效：一是</w:t>
      </w:r>
      <w:r>
        <w:rPr>
          <w:rFonts w:hint="default" w:ascii="Times New Roman" w:hAnsi="Times New Roman" w:eastAsia="方正仿宋_GBK" w:cs="Times New Roman"/>
          <w:color w:val="auto"/>
          <w:kern w:val="10"/>
          <w:sz w:val="32"/>
          <w:szCs w:val="32"/>
          <w:lang w:val="en-US" w:eastAsia="zh-CN" w:bidi="en-US"/>
        </w:rPr>
        <w:t>征收工作推进成效显著， 多个重点项目在土地征收方面取得实质性进展。如西泉街九年一贯制学校项目上半年全部完成土地征收并发放补偿款等费用 401.367141 万元 ；乌鲁木齐市绕城高速西线工程项目全线土地征收工作已完成，还妥善处理了土地流转费支付、村民菜窖及边角地补偿等事宜。部分项目完成特定主体征收或评估测绘工作，像“一带一路”乌鲁木齐开发区现代服务产业园配套道路及管网工程（一期）完成部分企业征收和评估测绘</w:t>
      </w:r>
      <w:r>
        <w:rPr>
          <w:rFonts w:hint="default" w:ascii="Times New Roman" w:hAnsi="Times New Roman" w:eastAsia="仿宋_GB2312" w:cs="Times New Roman"/>
          <w:sz w:val="32"/>
          <w:szCs w:val="32"/>
        </w:rPr>
        <w:t>；二是</w:t>
      </w:r>
      <w:r>
        <w:rPr>
          <w:rFonts w:hint="default" w:ascii="Times New Roman" w:hAnsi="Times New Roman" w:eastAsia="方正仿宋_GBK" w:cs="Times New Roman"/>
          <w:color w:val="auto"/>
          <w:kern w:val="10"/>
          <w:sz w:val="32"/>
          <w:szCs w:val="32"/>
          <w:lang w:val="en-US" w:eastAsia="zh-CN" w:bidi="en-US"/>
        </w:rPr>
        <w:t>项目前期工作有序开展，轨道交通 2 号线项目虽未启动征收，但正在重新出具勘界报告，为后续征收做准备；八钢低碳转型光伏项目项目单位在制作征收数据及图表，陆港集结中心项目完成勘界工作，为后续实施奠定基础</w:t>
      </w:r>
      <w:r>
        <w:rPr>
          <w:rFonts w:hint="default" w:ascii="Times New Roman" w:hAnsi="Times New Roman" w:eastAsia="仿宋_GB2312" w:cs="Times New Roman"/>
          <w:sz w:val="32"/>
          <w:szCs w:val="32"/>
          <w:lang w:eastAsia="zh-CN"/>
        </w:rPr>
        <w:t>；三是</w:t>
      </w:r>
      <w:r>
        <w:rPr>
          <w:rFonts w:hint="default" w:ascii="Times New Roman" w:hAnsi="Times New Roman" w:eastAsia="方正仿宋_GBK" w:cs="Times New Roman"/>
          <w:color w:val="auto"/>
          <w:kern w:val="10"/>
          <w:sz w:val="32"/>
          <w:szCs w:val="32"/>
          <w:lang w:val="en-US" w:eastAsia="zh-CN" w:bidi="en-US"/>
        </w:rPr>
        <w:t>土地储备工作有进展， 2024 年度全区调整后用地计划明确，且已完成储备土地 43 宗（计划内 33 宗，计划外 10 宗），面积 4145.63 亩，在土地资源整合储备方面取得一定成果。</w:t>
      </w:r>
      <w:r>
        <w:rPr>
          <w:rFonts w:hint="default" w:ascii="Times New Roman" w:hAnsi="Times New Roman" w:eastAsia="仿宋_GB2312" w:cs="Times New Roman"/>
          <w:sz w:val="32"/>
          <w:szCs w:val="32"/>
        </w:rPr>
        <w:t>发现的问题及原因：</w:t>
      </w:r>
      <w:r>
        <w:rPr>
          <w:rFonts w:hint="default" w:ascii="Times New Roman" w:hAnsi="Times New Roman" w:eastAsia="仿宋_GB2312" w:cs="Times New Roman"/>
          <w:color w:val="000000" w:themeColor="text1"/>
          <w:spacing w:val="-4"/>
          <w:sz w:val="32"/>
          <w:szCs w:val="32"/>
          <w14:textFill>
            <w14:solidFill>
              <w14:schemeClr w14:val="tx1"/>
            </w14:solidFill>
          </w14:textFill>
        </w:rPr>
        <w:t>财务管理方面，会计核算还不够细致,对于有些能够细分的工作,未能详细分类核算,绩效评价基础数据不够精准</w:t>
      </w:r>
      <w:r>
        <w:rPr>
          <w:rFonts w:hint="default" w:ascii="Times New Roman" w:hAnsi="Times New Roman" w:eastAsia="仿宋_GB2312" w:cs="Times New Roman"/>
          <w:sz w:val="32"/>
          <w:szCs w:val="32"/>
        </w:rPr>
        <w:t>。下一步改进措施：一是</w:t>
      </w:r>
      <w:r>
        <w:rPr>
          <w:rFonts w:hint="default" w:ascii="Times New Roman" w:hAnsi="Times New Roman" w:eastAsia="仿宋_GB2312" w:cs="Times New Roman"/>
          <w:color w:val="000000" w:themeColor="text1"/>
          <w:spacing w:val="-4"/>
          <w:kern w:val="2"/>
          <w:sz w:val="32"/>
          <w:szCs w:val="32"/>
          <w:lang w:val="en-US" w:eastAsia="zh-CN" w:bidi="ar-SA"/>
          <w14:textFill>
            <w14:solidFill>
              <w14:schemeClr w14:val="tx1"/>
            </w14:solidFill>
          </w14:textFill>
        </w:rPr>
        <w:t>加强新行政单位会计制度和新预算法学习培训，规范账务处理，加强新《预算法》、《行政单位会计制度》 、《会计法》 、《行政单位财务规则》等学习培训,规范单位预算收支核算。制定和完善基本支出、项目支出等各项支出标准,严格按项目和进度执行预算, 增强预算的约束力和严肃性；落实预算执行分析,及时了解预算执行差异,合理调整、纠正预算执行偏差，切实提高单位预算收支管理水平。尽可能地做到决算与预算相衔接</w:t>
      </w:r>
      <w:r>
        <w:rPr>
          <w:rFonts w:hint="default" w:ascii="Times New Roman" w:hAnsi="Times New Roman" w:eastAsia="仿宋_GB2312" w:cs="Times New Roman"/>
          <w:sz w:val="32"/>
          <w:szCs w:val="32"/>
        </w:rPr>
        <w:t>；二是</w:t>
      </w:r>
      <w:r>
        <w:rPr>
          <w:rFonts w:hint="default" w:ascii="Times New Roman" w:hAnsi="Times New Roman" w:eastAsia="仿宋_GB2312" w:cs="Times New Roman"/>
          <w:color w:val="000000" w:themeColor="text1"/>
          <w:spacing w:val="-4"/>
          <w:kern w:val="2"/>
          <w:sz w:val="32"/>
          <w:szCs w:val="32"/>
          <w:lang w:val="en-US" w:eastAsia="zh-CN" w:bidi="ar-SA"/>
          <w14:textFill>
            <w14:solidFill>
              <w14:schemeClr w14:val="tx1"/>
            </w14:solidFill>
          </w14:textFill>
        </w:rPr>
        <w:t>财务上，会计核算要更加详细，为本单位各项工作的开展、总结、评估提供有效数据资料支撑,为各项业务工作更好的开展提供帮助；三是</w:t>
      </w:r>
      <w:r>
        <w:rPr>
          <w:rFonts w:hint="default" w:ascii="Times New Roman" w:hAnsi="Times New Roman" w:eastAsia="仿宋_GB2312" w:cs="Times New Roman"/>
          <w:color w:val="000000" w:themeColor="text1"/>
          <w:spacing w:val="-4"/>
          <w:sz w:val="32"/>
          <w:szCs w:val="32"/>
          <w14:textFill>
            <w14:solidFill>
              <w14:schemeClr w14:val="tx1"/>
            </w14:solidFill>
          </w14:textFill>
        </w:rPr>
        <w:t>实行专项资金预算管理，结合单位实际, 按轻重缓急统筹安排编制预算,提高预算编制科学性和合理性,优化资金结构</w:t>
      </w:r>
      <w:r>
        <w:rPr>
          <w:rFonts w:hint="default" w:ascii="Times New Roman" w:hAnsi="Times New Roman" w:eastAsia="仿宋_GB2312" w:cs="Times New Roman"/>
          <w:color w:val="000000" w:themeColor="text1"/>
          <w:spacing w:val="-4"/>
          <w:sz w:val="32"/>
          <w:szCs w:val="32"/>
          <w:lang w:eastAsia="zh-CN"/>
          <w14:textFill>
            <w14:solidFill>
              <w14:schemeClr w14:val="tx1"/>
            </w14:solidFill>
          </w14:textFill>
        </w:rPr>
        <w:t>；四是</w:t>
      </w:r>
      <w:r>
        <w:rPr>
          <w:rFonts w:hint="default" w:ascii="Times New Roman" w:hAnsi="Times New Roman" w:eastAsia="仿宋_GB2312" w:cs="Times New Roman"/>
          <w:color w:val="000000" w:themeColor="text1"/>
          <w:spacing w:val="-4"/>
          <w:sz w:val="32"/>
          <w:szCs w:val="32"/>
          <w14:textFill>
            <w14:solidFill>
              <w14:schemeClr w14:val="tx1"/>
            </w14:solidFill>
          </w14:textFill>
        </w:rPr>
        <w:t>专项资金的使用，要事前做计划，事中进行控制，事后总结提高。合理安排资金使用,充分体现资金投向的目标和效益</w:t>
      </w:r>
      <w:r>
        <w:rPr>
          <w:rFonts w:hint="default" w:ascii="Times New Roman" w:hAnsi="Times New Roman" w:eastAsia="仿宋_GB2312" w:cs="Times New Roman"/>
          <w:color w:val="000000" w:themeColor="text1"/>
          <w:spacing w:val="-4"/>
          <w:sz w:val="32"/>
          <w:szCs w:val="32"/>
          <w:lang w:eastAsia="zh-CN"/>
          <w14:textFill>
            <w14:solidFill>
              <w14:schemeClr w14:val="tx1"/>
            </w14:solidFill>
          </w14:textFill>
        </w:rPr>
        <w:t>；五是</w:t>
      </w:r>
      <w:r>
        <w:rPr>
          <w:rFonts w:hint="default" w:ascii="Times New Roman" w:hAnsi="Times New Roman" w:eastAsia="仿宋_GB2312" w:cs="Times New Roman"/>
          <w:color w:val="000000" w:themeColor="text1"/>
          <w:spacing w:val="-4"/>
          <w:sz w:val="32"/>
          <w:szCs w:val="32"/>
          <w14:textFill>
            <w14:solidFill>
              <w14:schemeClr w14:val="tx1"/>
            </w14:solidFill>
          </w14:textFill>
        </w:rPr>
        <w:t>由于目前的预算管理在编制和实施中还存在编制不细、预算调整较多、追加预算比重较大等现象,因此项目预算执行的准确性还有待加强,同时分析手段和技术水平上还有待完善。在今后的工作中,我们将加强与财政</w:t>
      </w:r>
      <w:r>
        <w:rPr>
          <w:rFonts w:hint="default" w:ascii="Times New Roman" w:hAnsi="Times New Roman" w:eastAsia="仿宋_GB2312" w:cs="Times New Roman"/>
          <w:color w:val="000000" w:themeColor="text1"/>
          <w:spacing w:val="-4"/>
          <w:sz w:val="32"/>
          <w:szCs w:val="32"/>
          <w:lang w:eastAsia="zh-CN"/>
          <w14:textFill>
            <w14:solidFill>
              <w14:schemeClr w14:val="tx1"/>
            </w14:solidFill>
          </w14:textFill>
        </w:rPr>
        <w:t>单位</w:t>
      </w:r>
      <w:r>
        <w:rPr>
          <w:rFonts w:hint="default" w:ascii="Times New Roman" w:hAnsi="Times New Roman" w:eastAsia="仿宋_GB2312" w:cs="Times New Roman"/>
          <w:color w:val="000000" w:themeColor="text1"/>
          <w:spacing w:val="-4"/>
          <w:sz w:val="32"/>
          <w:szCs w:val="32"/>
          <w14:textFill>
            <w14:solidFill>
              <w14:schemeClr w14:val="tx1"/>
            </w14:solidFill>
          </w14:textFill>
        </w:rPr>
        <w:t>的紧密配合,开展好整体支出及项目资金绩效管理工作,运用好绩效评价的结果,不断提升预算管理水平</w:t>
      </w:r>
      <w:r>
        <w:rPr>
          <w:rFonts w:hint="default" w:ascii="Times New Roman" w:hAnsi="Times New Roman" w:eastAsia="仿宋_GB2312" w:cs="Times New Roman"/>
          <w:sz w:val="32"/>
          <w:szCs w:val="32"/>
        </w:rPr>
        <w:t>。具体附部门整体支出绩效自评表</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kern w:val="0"/>
          <w:sz w:val="32"/>
          <w:szCs w:val="32"/>
          <w:lang w:bidi="ar"/>
        </w:rPr>
        <w:t>项目支出绩效自评表和部门</w:t>
      </w:r>
      <w:r>
        <w:rPr>
          <w:rFonts w:hint="default" w:ascii="Times New Roman" w:hAnsi="Times New Roman" w:eastAsia="仿宋_GB2312" w:cs="Times New Roman"/>
          <w:color w:val="000000"/>
          <w:kern w:val="0"/>
          <w:sz w:val="32"/>
          <w:szCs w:val="32"/>
          <w:lang w:bidi="ar"/>
        </w:rPr>
        <w:t>评价报告。</w:t>
      </w:r>
    </w:p>
    <w:p w14:paraId="79A6534C">
      <w:pPr>
        <w:pStyle w:val="2"/>
        <w:rPr>
          <w:rFonts w:hint="default" w:ascii="Times New Roman" w:hAnsi="Times New Roman" w:cs="Times New Roman"/>
        </w:rPr>
      </w:pPr>
    </w:p>
    <w:p w14:paraId="3B786894">
      <w:pPr>
        <w:rPr>
          <w:rFonts w:hint="default" w:ascii="Times New Roman" w:hAnsi="Times New Roman" w:cs="Times New Roman"/>
        </w:rPr>
      </w:pPr>
    </w:p>
    <w:p w14:paraId="0B8D3042">
      <w:pPr>
        <w:pStyle w:val="2"/>
        <w:rPr>
          <w:rFonts w:hint="default" w:ascii="Times New Roman" w:hAnsi="Times New Roman" w:cs="Times New Roman"/>
        </w:rPr>
      </w:pPr>
    </w:p>
    <w:p w14:paraId="039E60E8">
      <w:pPr>
        <w:rPr>
          <w:rFonts w:hint="default" w:ascii="Times New Roman" w:hAnsi="Times New Roman" w:cs="Times New Roman"/>
        </w:rPr>
      </w:pPr>
    </w:p>
    <w:p w14:paraId="01E68CAF">
      <w:pPr>
        <w:pStyle w:val="2"/>
        <w:rPr>
          <w:rFonts w:hint="default" w:ascii="Times New Roman" w:hAnsi="Times New Roman" w:cs="Times New Roman"/>
        </w:rPr>
      </w:pPr>
    </w:p>
    <w:p w14:paraId="55CFF528">
      <w:pPr>
        <w:rPr>
          <w:rFonts w:hint="default" w:ascii="Times New Roman" w:hAnsi="Times New Roman" w:cs="Times New Roman"/>
        </w:rPr>
      </w:pPr>
    </w:p>
    <w:p w14:paraId="496EC343">
      <w:pPr>
        <w:pStyle w:val="2"/>
        <w:rPr>
          <w:rFonts w:hint="default" w:ascii="Times New Roman" w:hAnsi="Times New Roman" w:cs="Times New Roman"/>
        </w:rPr>
      </w:pPr>
    </w:p>
    <w:p w14:paraId="06CC81C2">
      <w:pPr>
        <w:rPr>
          <w:rFonts w:hint="default" w:ascii="Times New Roman" w:hAnsi="Times New Roman" w:cs="Times New Roman"/>
        </w:rPr>
      </w:pPr>
    </w:p>
    <w:p w14:paraId="2471824E">
      <w:pPr>
        <w:pStyle w:val="2"/>
        <w:rPr>
          <w:rFonts w:hint="default" w:ascii="Times New Roman" w:hAnsi="Times New Roman" w:cs="Times New Roman"/>
        </w:rPr>
      </w:pPr>
    </w:p>
    <w:p w14:paraId="31996669">
      <w:pPr>
        <w:rPr>
          <w:rFonts w:hint="default" w:ascii="Times New Roman" w:hAnsi="Times New Roman" w:cs="Times New Roman"/>
        </w:rPr>
      </w:pPr>
    </w:p>
    <w:p w14:paraId="4B8EA62B">
      <w:pPr>
        <w:pStyle w:val="2"/>
        <w:rPr>
          <w:rFonts w:hint="default" w:ascii="Times New Roman" w:hAnsi="Times New Roman" w:cs="Times New Roman"/>
        </w:rPr>
      </w:pPr>
    </w:p>
    <w:p w14:paraId="44768BDD">
      <w:pPr>
        <w:rPr>
          <w:rFonts w:hint="default" w:ascii="Times New Roman" w:hAnsi="Times New Roman" w:cs="Times New Roman"/>
        </w:rPr>
      </w:pPr>
    </w:p>
    <w:p w14:paraId="279D9B77">
      <w:pPr>
        <w:pStyle w:val="2"/>
        <w:rPr>
          <w:rFonts w:hint="default" w:ascii="Times New Roman" w:hAnsi="Times New Roman" w:cs="Times New Roman"/>
        </w:rPr>
      </w:pPr>
    </w:p>
    <w:p w14:paraId="50DEA566">
      <w:pPr>
        <w:rPr>
          <w:rFonts w:hint="default" w:ascii="Times New Roman" w:hAnsi="Times New Roman" w:cs="Times New Roman"/>
        </w:rPr>
      </w:pPr>
    </w:p>
    <w:p w14:paraId="1866C719">
      <w:pPr>
        <w:pStyle w:val="2"/>
        <w:rPr>
          <w:rFonts w:hint="default" w:ascii="Times New Roman" w:hAnsi="Times New Roman" w:cs="Times New Roman"/>
        </w:rPr>
      </w:pPr>
    </w:p>
    <w:p w14:paraId="388A70D8">
      <w:pPr>
        <w:rPr>
          <w:rFonts w:hint="default" w:ascii="Times New Roman" w:hAnsi="Times New Roman" w:cs="Times New Roman"/>
        </w:rPr>
      </w:pPr>
    </w:p>
    <w:p w14:paraId="7D9D4130">
      <w:pPr>
        <w:pStyle w:val="2"/>
        <w:rPr>
          <w:rFonts w:hint="default" w:ascii="Times New Roman" w:hAnsi="Times New Roman" w:cs="Times New Roman"/>
        </w:rPr>
      </w:pPr>
    </w:p>
    <w:p w14:paraId="1458A10A">
      <w:pPr>
        <w:rPr>
          <w:rFonts w:hint="default" w:ascii="Times New Roman" w:hAnsi="Times New Roman" w:cs="Times New Roman"/>
        </w:rPr>
      </w:pPr>
    </w:p>
    <w:p w14:paraId="25B95876">
      <w:pPr>
        <w:pStyle w:val="2"/>
        <w:rPr>
          <w:rFonts w:hint="default" w:ascii="Times New Roman" w:hAnsi="Times New Roman" w:cs="Times New Roman"/>
        </w:rPr>
      </w:pPr>
    </w:p>
    <w:p w14:paraId="1EE0D349">
      <w:pPr>
        <w:rPr>
          <w:rFonts w:hint="default" w:ascii="Times New Roman" w:hAnsi="Times New Roman" w:cs="Times New Roman"/>
        </w:rPr>
      </w:pPr>
    </w:p>
    <w:p w14:paraId="2F2162E5">
      <w:pPr>
        <w:rPr>
          <w:rFonts w:hint="default" w:ascii="Times New Roman" w:hAnsi="Times New Roman" w:cs="Times New Roman"/>
        </w:rPr>
      </w:pPr>
    </w:p>
    <w:p w14:paraId="772F52CC">
      <w:pPr>
        <w:pStyle w:val="2"/>
        <w:rPr>
          <w:rFonts w:hint="default" w:ascii="Times New Roman" w:hAnsi="Times New Roman" w:cs="Times New Roman"/>
        </w:rPr>
      </w:pPr>
    </w:p>
    <w:tbl>
      <w:tblPr>
        <w:tblStyle w:val="9"/>
        <w:tblW w:w="6377" w:type="pct"/>
        <w:tblInd w:w="-10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61"/>
        <w:gridCol w:w="472"/>
        <w:gridCol w:w="455"/>
        <w:gridCol w:w="539"/>
        <w:gridCol w:w="1180"/>
        <w:gridCol w:w="53"/>
        <w:gridCol w:w="1093"/>
        <w:gridCol w:w="826"/>
        <w:gridCol w:w="2191"/>
        <w:gridCol w:w="691"/>
        <w:gridCol w:w="489"/>
        <w:gridCol w:w="522"/>
        <w:gridCol w:w="742"/>
        <w:gridCol w:w="418"/>
      </w:tblGrid>
      <w:tr w14:paraId="43D37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5" w:hRule="atLeast"/>
        </w:trPr>
        <w:tc>
          <w:tcPr>
            <w:tcW w:w="10632" w:type="dxa"/>
            <w:gridSpan w:val="14"/>
            <w:tcBorders>
              <w:top w:val="nil"/>
              <w:left w:val="nil"/>
              <w:bottom w:val="nil"/>
              <w:right w:val="single" w:color="000000" w:sz="4" w:space="0"/>
            </w:tcBorders>
            <w:shd w:val="clear" w:color="auto" w:fill="auto"/>
            <w:noWrap/>
            <w:tcMar>
              <w:top w:w="15" w:type="dxa"/>
              <w:left w:w="15" w:type="dxa"/>
              <w:right w:w="15" w:type="dxa"/>
            </w:tcMar>
            <w:vAlign w:val="center"/>
          </w:tcPr>
          <w:p w14:paraId="61707FA8">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bCs/>
                <w:i w:val="0"/>
                <w:iCs w:val="0"/>
                <w:color w:val="000000"/>
                <w:kern w:val="0"/>
                <w:sz w:val="32"/>
                <w:szCs w:val="32"/>
                <w:u w:val="none"/>
                <w:lang w:val="en-US" w:eastAsia="zh-CN" w:bidi="ar"/>
              </w:rPr>
              <w:t>部门（单位）整体支出绩效目标自评表</w:t>
            </w:r>
          </w:p>
        </w:tc>
      </w:tr>
      <w:tr w14:paraId="2FCC8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7" w:hRule="atLeast"/>
        </w:trPr>
        <w:tc>
          <w:tcPr>
            <w:tcW w:w="10632" w:type="dxa"/>
            <w:gridSpan w:val="1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1B5A6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bCs/>
                <w:i w:val="0"/>
                <w:iCs w:val="0"/>
                <w:color w:val="000000"/>
                <w:kern w:val="0"/>
                <w:sz w:val="28"/>
                <w:szCs w:val="28"/>
                <w:u w:val="none"/>
                <w:lang w:val="en-US" w:eastAsia="zh-CN" w:bidi="ar"/>
              </w:rPr>
              <w:t>2024</w:t>
            </w:r>
          </w:p>
        </w:tc>
      </w:tr>
      <w:tr w14:paraId="2243D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52" w:hRule="atLeast"/>
        </w:trPr>
        <w:tc>
          <w:tcPr>
            <w:tcW w:w="2427"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A1248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bCs/>
                <w:i w:val="0"/>
                <w:iCs w:val="0"/>
                <w:color w:val="000000"/>
                <w:kern w:val="0"/>
                <w:sz w:val="20"/>
                <w:szCs w:val="20"/>
                <w:u w:val="none"/>
                <w:lang w:val="en-US" w:eastAsia="zh-CN" w:bidi="ar"/>
              </w:rPr>
              <w:t>部门（单位）名称</w:t>
            </w:r>
          </w:p>
        </w:tc>
        <w:tc>
          <w:tcPr>
            <w:tcW w:w="8205" w:type="dxa"/>
            <w:gridSpan w:val="10"/>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BEC33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乌鲁木齐经济技术开发区（乌鲁木齐市头屯河区）房屋征收与补偿管理办公室（土地征收管理办公室）</w:t>
            </w:r>
          </w:p>
        </w:tc>
      </w:tr>
      <w:tr w14:paraId="33581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2" w:hRule="atLeast"/>
        </w:trPr>
        <w:tc>
          <w:tcPr>
            <w:tcW w:w="14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5A1C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年度预算（万元）</w:t>
            </w:r>
          </w:p>
        </w:tc>
        <w:tc>
          <w:tcPr>
            <w:tcW w:w="222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8A29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资金来源</w:t>
            </w:r>
          </w:p>
        </w:tc>
        <w:tc>
          <w:tcPr>
            <w:tcW w:w="19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885F6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年初预算数（万元）</w:t>
            </w:r>
          </w:p>
        </w:tc>
        <w:tc>
          <w:tcPr>
            <w:tcW w:w="21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0DF6E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i w:val="0"/>
                <w:iCs w:val="0"/>
                <w:color w:val="333333"/>
                <w:kern w:val="0"/>
                <w:sz w:val="20"/>
                <w:szCs w:val="20"/>
                <w:u w:val="none"/>
                <w:lang w:val="en-US" w:eastAsia="zh-CN" w:bidi="ar"/>
              </w:rPr>
              <w:t>预算数（调整后）</w:t>
            </w:r>
          </w:p>
        </w:tc>
        <w:tc>
          <w:tcPr>
            <w:tcW w:w="11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BE24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i w:val="0"/>
                <w:iCs w:val="0"/>
                <w:color w:val="333333"/>
                <w:kern w:val="0"/>
                <w:sz w:val="20"/>
                <w:szCs w:val="20"/>
                <w:u w:val="none"/>
                <w:lang w:val="en-US" w:eastAsia="zh-CN" w:bidi="ar"/>
              </w:rPr>
              <w:t>执行数</w:t>
            </w:r>
          </w:p>
        </w:tc>
        <w:tc>
          <w:tcPr>
            <w:tcW w:w="16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4877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i w:val="0"/>
                <w:iCs w:val="0"/>
                <w:color w:val="333333"/>
                <w:kern w:val="0"/>
                <w:sz w:val="20"/>
                <w:szCs w:val="20"/>
                <w:u w:val="none"/>
                <w:lang w:val="en-US" w:eastAsia="zh-CN" w:bidi="ar"/>
              </w:rPr>
              <w:t>执行率(%)</w:t>
            </w:r>
          </w:p>
        </w:tc>
      </w:tr>
      <w:tr w14:paraId="02BC6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3" w:hRule="atLeast"/>
        </w:trPr>
        <w:tc>
          <w:tcPr>
            <w:tcW w:w="14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4A18A">
            <w:pPr>
              <w:jc w:val="center"/>
              <w:rPr>
                <w:rFonts w:hint="eastAsia" w:ascii="宋体" w:hAnsi="宋体" w:eastAsia="宋体" w:cs="宋体"/>
                <w:b/>
                <w:i w:val="0"/>
                <w:color w:val="000000"/>
                <w:sz w:val="18"/>
                <w:szCs w:val="18"/>
                <w:u w:val="none"/>
              </w:rPr>
            </w:pPr>
          </w:p>
        </w:tc>
        <w:tc>
          <w:tcPr>
            <w:tcW w:w="994" w:type="dxa"/>
            <w:gridSpan w:val="2"/>
            <w:vMerge w:val="restart"/>
            <w:tcBorders>
              <w:top w:val="single" w:color="000000" w:sz="4" w:space="0"/>
              <w:left w:val="single" w:color="000000" w:sz="4" w:space="0"/>
              <w:right w:val="single" w:color="auto" w:sz="4" w:space="0"/>
            </w:tcBorders>
            <w:shd w:val="clear" w:color="auto" w:fill="auto"/>
            <w:noWrap/>
            <w:tcMar>
              <w:top w:w="15" w:type="dxa"/>
              <w:left w:w="15" w:type="dxa"/>
              <w:right w:w="15" w:type="dxa"/>
            </w:tcMar>
            <w:vAlign w:val="center"/>
          </w:tcPr>
          <w:p w14:paraId="6B8A57F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财政资金（万元）</w:t>
            </w:r>
          </w:p>
        </w:tc>
        <w:tc>
          <w:tcPr>
            <w:tcW w:w="1233" w:type="dxa"/>
            <w:gridSpan w:val="2"/>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6819A358">
            <w:pPr>
              <w:keepNext w:val="0"/>
              <w:keepLines w:val="0"/>
              <w:widowControl/>
              <w:suppressLineNumbers w:val="0"/>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上级资金：</w:t>
            </w:r>
          </w:p>
        </w:tc>
        <w:tc>
          <w:tcPr>
            <w:tcW w:w="19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40D6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0</w:t>
            </w:r>
          </w:p>
        </w:tc>
        <w:tc>
          <w:tcPr>
            <w:tcW w:w="21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5FD66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0</w:t>
            </w:r>
          </w:p>
        </w:tc>
        <w:tc>
          <w:tcPr>
            <w:tcW w:w="11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747FC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0</w:t>
            </w:r>
          </w:p>
        </w:tc>
        <w:tc>
          <w:tcPr>
            <w:tcW w:w="16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A11C7E">
            <w:pPr>
              <w:jc w:val="center"/>
              <w:rPr>
                <w:rFonts w:hint="eastAsia" w:ascii="宋体" w:hAnsi="宋体" w:eastAsia="宋体" w:cs="宋体"/>
                <w:i w:val="0"/>
                <w:color w:val="000000"/>
                <w:sz w:val="18"/>
                <w:szCs w:val="18"/>
                <w:u w:val="none"/>
              </w:rPr>
            </w:pPr>
          </w:p>
        </w:tc>
      </w:tr>
      <w:tr w14:paraId="7F93F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4" w:hRule="atLeast"/>
        </w:trPr>
        <w:tc>
          <w:tcPr>
            <w:tcW w:w="14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B916A">
            <w:pPr>
              <w:jc w:val="center"/>
              <w:rPr>
                <w:rFonts w:hint="eastAsia" w:ascii="宋体" w:hAnsi="宋体" w:eastAsia="宋体" w:cs="宋体"/>
                <w:b/>
                <w:i w:val="0"/>
                <w:color w:val="000000"/>
                <w:sz w:val="18"/>
                <w:szCs w:val="18"/>
                <w:u w:val="none"/>
              </w:rPr>
            </w:pPr>
          </w:p>
        </w:tc>
        <w:tc>
          <w:tcPr>
            <w:tcW w:w="994" w:type="dxa"/>
            <w:gridSpan w:val="2"/>
            <w:vMerge w:val="continue"/>
            <w:tcBorders>
              <w:left w:val="single" w:color="000000" w:sz="4" w:space="0"/>
              <w:right w:val="single" w:color="auto" w:sz="4" w:space="0"/>
            </w:tcBorders>
            <w:shd w:val="clear" w:color="auto" w:fill="auto"/>
            <w:tcMar>
              <w:top w:w="15" w:type="dxa"/>
              <w:left w:w="15" w:type="dxa"/>
              <w:right w:w="15" w:type="dxa"/>
            </w:tcMar>
            <w:vAlign w:val="center"/>
          </w:tcPr>
          <w:p w14:paraId="43AC6D09">
            <w:pPr>
              <w:jc w:val="center"/>
              <w:rPr>
                <w:rFonts w:hint="eastAsia" w:ascii="宋体" w:hAnsi="宋体" w:eastAsia="宋体" w:cs="宋体"/>
                <w:b/>
                <w:i w:val="0"/>
                <w:color w:val="000000"/>
                <w:sz w:val="18"/>
                <w:szCs w:val="18"/>
                <w:u w:val="none"/>
              </w:rPr>
            </w:pPr>
          </w:p>
        </w:tc>
        <w:tc>
          <w:tcPr>
            <w:tcW w:w="1233" w:type="dxa"/>
            <w:gridSpan w:val="2"/>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4BE12D08">
            <w:pPr>
              <w:keepNext w:val="0"/>
              <w:keepLines w:val="0"/>
              <w:widowControl/>
              <w:suppressLineNumbers w:val="0"/>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本级资金：</w:t>
            </w:r>
          </w:p>
        </w:tc>
        <w:tc>
          <w:tcPr>
            <w:tcW w:w="19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814DD">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iCs w:val="0"/>
                <w:color w:val="000000"/>
                <w:kern w:val="0"/>
                <w:sz w:val="20"/>
                <w:szCs w:val="20"/>
                <w:u w:val="none"/>
                <w:lang w:val="en-US" w:eastAsia="zh-CN" w:bidi="ar"/>
              </w:rPr>
              <w:t>46119.66</w:t>
            </w:r>
          </w:p>
        </w:tc>
        <w:tc>
          <w:tcPr>
            <w:tcW w:w="21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7C6D8">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iCs w:val="0"/>
                <w:color w:val="000000"/>
                <w:kern w:val="0"/>
                <w:sz w:val="20"/>
                <w:szCs w:val="20"/>
                <w:u w:val="none"/>
                <w:lang w:val="en-US" w:eastAsia="zh-CN" w:bidi="ar"/>
              </w:rPr>
              <w:t>240252.15</w:t>
            </w:r>
          </w:p>
        </w:tc>
        <w:tc>
          <w:tcPr>
            <w:tcW w:w="11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5C12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239500.7</w:t>
            </w:r>
          </w:p>
        </w:tc>
        <w:tc>
          <w:tcPr>
            <w:tcW w:w="16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DF36A7">
            <w:pPr>
              <w:jc w:val="center"/>
              <w:rPr>
                <w:rFonts w:hint="eastAsia" w:ascii="宋体" w:hAnsi="宋体" w:eastAsia="宋体" w:cs="宋体"/>
                <w:i w:val="0"/>
                <w:color w:val="000000"/>
                <w:sz w:val="18"/>
                <w:szCs w:val="18"/>
                <w:u w:val="none"/>
              </w:rPr>
            </w:pPr>
          </w:p>
        </w:tc>
      </w:tr>
      <w:tr w14:paraId="64470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1" w:hRule="atLeast"/>
        </w:trPr>
        <w:tc>
          <w:tcPr>
            <w:tcW w:w="14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C70796">
            <w:pPr>
              <w:jc w:val="center"/>
              <w:rPr>
                <w:rFonts w:hint="eastAsia" w:ascii="宋体" w:hAnsi="宋体" w:eastAsia="宋体" w:cs="宋体"/>
                <w:b/>
                <w:i w:val="0"/>
                <w:color w:val="000000"/>
                <w:sz w:val="18"/>
                <w:szCs w:val="18"/>
                <w:u w:val="none"/>
              </w:rPr>
            </w:pPr>
          </w:p>
        </w:tc>
        <w:tc>
          <w:tcPr>
            <w:tcW w:w="994" w:type="dxa"/>
            <w:gridSpan w:val="2"/>
            <w:vMerge w:val="continue"/>
            <w:tcBorders>
              <w:left w:val="single" w:color="000000" w:sz="4" w:space="0"/>
              <w:right w:val="single" w:color="auto" w:sz="4" w:space="0"/>
            </w:tcBorders>
            <w:shd w:val="clear" w:color="auto" w:fill="auto"/>
            <w:tcMar>
              <w:top w:w="15" w:type="dxa"/>
              <w:left w:w="15" w:type="dxa"/>
              <w:right w:w="15" w:type="dxa"/>
            </w:tcMar>
            <w:vAlign w:val="center"/>
          </w:tcPr>
          <w:p w14:paraId="46596844">
            <w:pPr>
              <w:jc w:val="center"/>
              <w:rPr>
                <w:rFonts w:hint="eastAsia" w:ascii="宋体" w:hAnsi="宋体" w:eastAsia="宋体" w:cs="宋体"/>
                <w:b/>
                <w:i w:val="0"/>
                <w:color w:val="000000"/>
                <w:sz w:val="18"/>
                <w:szCs w:val="18"/>
                <w:u w:val="none"/>
              </w:rPr>
            </w:pPr>
          </w:p>
        </w:tc>
        <w:tc>
          <w:tcPr>
            <w:tcW w:w="1233" w:type="dxa"/>
            <w:gridSpan w:val="2"/>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77F319DE">
            <w:pPr>
              <w:keepNext w:val="0"/>
              <w:keepLines w:val="0"/>
              <w:widowControl/>
              <w:suppressLineNumbers w:val="0"/>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其他资金：</w:t>
            </w:r>
          </w:p>
        </w:tc>
        <w:tc>
          <w:tcPr>
            <w:tcW w:w="19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CEA87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0</w:t>
            </w:r>
          </w:p>
        </w:tc>
        <w:tc>
          <w:tcPr>
            <w:tcW w:w="21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B3E0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0</w:t>
            </w:r>
          </w:p>
        </w:tc>
        <w:tc>
          <w:tcPr>
            <w:tcW w:w="11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71D967">
            <w:pPr>
              <w:keepNext w:val="0"/>
              <w:keepLines w:val="0"/>
              <w:widowControl/>
              <w:suppressLineNumbers w:val="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iCs w:val="0"/>
                <w:color w:val="000000"/>
                <w:kern w:val="0"/>
                <w:sz w:val="20"/>
                <w:szCs w:val="20"/>
                <w:u w:val="none"/>
                <w:lang w:val="en-US" w:eastAsia="zh-CN" w:bidi="ar"/>
              </w:rPr>
              <w:t>0</w:t>
            </w:r>
          </w:p>
        </w:tc>
        <w:tc>
          <w:tcPr>
            <w:tcW w:w="16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3D88F0">
            <w:pPr>
              <w:jc w:val="center"/>
              <w:rPr>
                <w:rFonts w:hint="eastAsia" w:ascii="宋体" w:hAnsi="宋体" w:eastAsia="宋体" w:cs="宋体"/>
                <w:i w:val="0"/>
                <w:color w:val="000000"/>
                <w:sz w:val="18"/>
                <w:szCs w:val="18"/>
                <w:u w:val="none"/>
              </w:rPr>
            </w:pPr>
          </w:p>
        </w:tc>
      </w:tr>
      <w:tr w14:paraId="0A8F4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3" w:hRule="atLeast"/>
        </w:trPr>
        <w:tc>
          <w:tcPr>
            <w:tcW w:w="14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F3F29">
            <w:pPr>
              <w:jc w:val="center"/>
              <w:rPr>
                <w:rFonts w:hint="eastAsia" w:ascii="宋体" w:hAnsi="宋体" w:eastAsia="宋体" w:cs="宋体"/>
                <w:b/>
                <w:i w:val="0"/>
                <w:color w:val="000000"/>
                <w:sz w:val="18"/>
                <w:szCs w:val="18"/>
                <w:u w:val="none"/>
              </w:rPr>
            </w:pPr>
          </w:p>
        </w:tc>
        <w:tc>
          <w:tcPr>
            <w:tcW w:w="9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04FB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合计</w:t>
            </w:r>
          </w:p>
        </w:tc>
        <w:tc>
          <w:tcPr>
            <w:tcW w:w="12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5F167"/>
        </w:tc>
        <w:tc>
          <w:tcPr>
            <w:tcW w:w="19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6DD7DE">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iCs w:val="0"/>
                <w:color w:val="000000"/>
                <w:kern w:val="0"/>
                <w:sz w:val="20"/>
                <w:szCs w:val="20"/>
                <w:u w:val="none"/>
                <w:lang w:val="en-US" w:eastAsia="zh-CN" w:bidi="ar"/>
              </w:rPr>
              <w:t>46119.66</w:t>
            </w:r>
          </w:p>
        </w:tc>
        <w:tc>
          <w:tcPr>
            <w:tcW w:w="21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77649">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iCs w:val="0"/>
                <w:color w:val="000000"/>
                <w:kern w:val="0"/>
                <w:sz w:val="20"/>
                <w:szCs w:val="20"/>
                <w:u w:val="none"/>
                <w:lang w:val="en-US" w:eastAsia="zh-CN" w:bidi="ar"/>
              </w:rPr>
              <w:t>240252.15</w:t>
            </w:r>
          </w:p>
        </w:tc>
        <w:tc>
          <w:tcPr>
            <w:tcW w:w="11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D521B">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iCs w:val="0"/>
                <w:color w:val="000000"/>
                <w:kern w:val="0"/>
                <w:sz w:val="20"/>
                <w:szCs w:val="20"/>
                <w:u w:val="none"/>
                <w:lang w:val="en-US" w:eastAsia="zh-CN" w:bidi="ar"/>
              </w:rPr>
              <w:t>239500.7</w:t>
            </w:r>
          </w:p>
        </w:tc>
        <w:tc>
          <w:tcPr>
            <w:tcW w:w="16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2C9DFC">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iCs w:val="0"/>
                <w:color w:val="000000"/>
                <w:kern w:val="0"/>
                <w:sz w:val="20"/>
                <w:szCs w:val="20"/>
                <w:u w:val="none"/>
                <w:lang w:val="en-US" w:eastAsia="zh-CN" w:bidi="ar"/>
              </w:rPr>
              <w:t>99.69%</w:t>
            </w:r>
          </w:p>
        </w:tc>
      </w:tr>
      <w:tr w14:paraId="4C00F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3" w:hRule="atLeast"/>
        </w:trPr>
        <w:tc>
          <w:tcPr>
            <w:tcW w:w="14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ACA0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bCs/>
                <w:i w:val="0"/>
                <w:iCs w:val="0"/>
                <w:color w:val="000000"/>
                <w:kern w:val="0"/>
                <w:sz w:val="20"/>
                <w:szCs w:val="20"/>
                <w:u w:val="none"/>
                <w:lang w:val="en-US" w:eastAsia="zh-CN" w:bidi="ar"/>
              </w:rPr>
              <w:t>年度总体目标</w:t>
            </w:r>
          </w:p>
        </w:tc>
        <w:tc>
          <w:tcPr>
            <w:tcW w:w="4146"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BFE15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bCs/>
                <w:i w:val="0"/>
                <w:iCs w:val="0"/>
                <w:color w:val="000000"/>
                <w:kern w:val="0"/>
                <w:sz w:val="20"/>
                <w:szCs w:val="20"/>
                <w:u w:val="none"/>
                <w:lang w:val="en-US" w:eastAsia="zh-CN" w:bidi="ar"/>
              </w:rPr>
              <w:t>预期目标</w:t>
            </w:r>
          </w:p>
        </w:tc>
        <w:tc>
          <w:tcPr>
            <w:tcW w:w="5053"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C6A31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bCs/>
                <w:i w:val="0"/>
                <w:iCs w:val="0"/>
                <w:color w:val="000000"/>
                <w:kern w:val="0"/>
                <w:sz w:val="20"/>
                <w:szCs w:val="20"/>
                <w:u w:val="none"/>
                <w:lang w:val="en-US" w:eastAsia="zh-CN" w:bidi="ar"/>
              </w:rPr>
              <w:t>实际完成目标</w:t>
            </w:r>
          </w:p>
        </w:tc>
      </w:tr>
      <w:tr w14:paraId="478DD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77" w:hRule="atLeast"/>
        </w:trPr>
        <w:tc>
          <w:tcPr>
            <w:tcW w:w="14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9AEC5C">
            <w:pPr>
              <w:jc w:val="center"/>
              <w:rPr>
                <w:rFonts w:hint="eastAsia" w:ascii="宋体" w:hAnsi="宋体" w:eastAsia="宋体" w:cs="宋体"/>
                <w:b/>
                <w:i w:val="0"/>
                <w:color w:val="000000"/>
                <w:sz w:val="18"/>
                <w:szCs w:val="18"/>
                <w:u w:val="none"/>
              </w:rPr>
            </w:pPr>
          </w:p>
        </w:tc>
        <w:tc>
          <w:tcPr>
            <w:tcW w:w="41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7CCE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根据市委、区委关于房屋及土地征收工作安排征收房屋面积3100平方米；征收土地面积58666.67平方米；完成土地储备录入面积382.78公顷；完成移植树木471颗；按照老城区政府购买服务协议支付2024年还款计划金额；保障办公人员数量30人，人员保障准确率（%）达到90%，保障单位的日常工作环境，使人员幸福感提高。</w:t>
            </w:r>
          </w:p>
        </w:tc>
        <w:tc>
          <w:tcPr>
            <w:tcW w:w="505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5C68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我办已完成征收房屋面积3100平方米；完成征收土地面积59017平方米；完成土地储备录入面积710.58公顷；完成移植树木471颗；完成老城区政府购买服务协议支付2024年还款金额；保障办公人员数量30人，人员保障准确率（%）达到90%，保障单位的日常工作环境，使人员幸福感提高。</w:t>
            </w:r>
          </w:p>
        </w:tc>
      </w:tr>
      <w:tr w14:paraId="1464B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65"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2CCE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bCs/>
                <w:i w:val="0"/>
                <w:iCs w:val="0"/>
                <w:color w:val="000000"/>
                <w:kern w:val="0"/>
                <w:sz w:val="20"/>
                <w:szCs w:val="20"/>
                <w:u w:val="none"/>
                <w:lang w:val="en-US" w:eastAsia="zh-CN" w:bidi="ar"/>
              </w:rPr>
              <w:t>一级指标</w:t>
            </w:r>
          </w:p>
        </w:tc>
        <w:tc>
          <w:tcPr>
            <w:tcW w:w="9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0DD62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bCs/>
                <w:i w:val="0"/>
                <w:iCs w:val="0"/>
                <w:color w:val="000000"/>
                <w:kern w:val="0"/>
                <w:sz w:val="20"/>
                <w:szCs w:val="20"/>
                <w:u w:val="none"/>
                <w:lang w:val="en-US" w:eastAsia="zh-CN" w:bidi="ar"/>
              </w:rPr>
              <w:t>二级指标</w:t>
            </w:r>
          </w:p>
        </w:tc>
        <w:tc>
          <w:tcPr>
            <w:tcW w:w="1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11EC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bCs/>
                <w:i w:val="0"/>
                <w:iCs w:val="0"/>
                <w:color w:val="000000"/>
                <w:kern w:val="0"/>
                <w:sz w:val="20"/>
                <w:szCs w:val="20"/>
                <w:u w:val="none"/>
                <w:lang w:val="en-US" w:eastAsia="zh-CN" w:bidi="ar"/>
              </w:rPr>
              <w:t>三级指标</w:t>
            </w:r>
          </w:p>
        </w:tc>
        <w:tc>
          <w:tcPr>
            <w:tcW w:w="11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E9C3F">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预期指标值</w:t>
            </w:r>
          </w:p>
        </w:tc>
        <w:tc>
          <w:tcPr>
            <w:tcW w:w="30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079FC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bCs/>
                <w:i w:val="0"/>
                <w:iCs w:val="0"/>
                <w:color w:val="000000"/>
                <w:kern w:val="0"/>
                <w:sz w:val="20"/>
                <w:szCs w:val="20"/>
                <w:u w:val="none"/>
                <w:lang w:val="en-US" w:eastAsia="zh-CN" w:bidi="ar"/>
              </w:rPr>
              <w:t>指标设定依据</w:t>
            </w:r>
          </w:p>
        </w:tc>
        <w:tc>
          <w:tcPr>
            <w:tcW w:w="69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08DF9D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bCs/>
                <w:i w:val="0"/>
                <w:iCs w:val="0"/>
                <w:color w:val="000000"/>
                <w:kern w:val="0"/>
                <w:sz w:val="20"/>
                <w:szCs w:val="20"/>
                <w:u w:val="none"/>
                <w:lang w:val="en-US" w:eastAsia="zh-CN" w:bidi="ar"/>
              </w:rPr>
              <w:t>权重</w:t>
            </w:r>
          </w:p>
        </w:tc>
        <w:tc>
          <w:tcPr>
            <w:tcW w:w="1011" w:type="dxa"/>
            <w:gridSpan w:val="2"/>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040E937">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实际完成指标值</w:t>
            </w:r>
          </w:p>
        </w:tc>
        <w:tc>
          <w:tcPr>
            <w:tcW w:w="74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537F983">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得分</w:t>
            </w:r>
          </w:p>
        </w:tc>
        <w:tc>
          <w:tcPr>
            <w:tcW w:w="418"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6A0DABE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bCs/>
                <w:i w:val="0"/>
                <w:iCs w:val="0"/>
                <w:color w:val="000000"/>
                <w:kern w:val="0"/>
                <w:sz w:val="20"/>
                <w:szCs w:val="20"/>
                <w:u w:val="none"/>
                <w:lang w:val="en-US" w:eastAsia="zh-CN" w:bidi="ar"/>
              </w:rPr>
              <w:t>备注</w:t>
            </w:r>
          </w:p>
        </w:tc>
      </w:tr>
      <w:tr w14:paraId="07022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27" w:hRule="atLeast"/>
        </w:trPr>
        <w:tc>
          <w:tcPr>
            <w:tcW w:w="961" w:type="dxa"/>
            <w:vMerge w:val="restart"/>
            <w:tcBorders>
              <w:left w:val="single" w:color="000000" w:sz="4" w:space="0"/>
              <w:right w:val="single" w:color="auto" w:sz="4" w:space="0"/>
            </w:tcBorders>
            <w:shd w:val="clear" w:color="auto" w:fill="auto"/>
            <w:tcMar>
              <w:top w:w="15" w:type="dxa"/>
              <w:left w:w="15" w:type="dxa"/>
              <w:right w:w="15" w:type="dxa"/>
            </w:tcMar>
            <w:vAlign w:val="center"/>
          </w:tcPr>
          <w:p w14:paraId="7C55671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履职效能</w:t>
            </w:r>
          </w:p>
        </w:tc>
        <w:tc>
          <w:tcPr>
            <w:tcW w:w="927" w:type="dxa"/>
            <w:gridSpan w:val="2"/>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2E4AE0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数量指标</w:t>
            </w:r>
          </w:p>
        </w:tc>
        <w:tc>
          <w:tcPr>
            <w:tcW w:w="1719" w:type="dxa"/>
            <w:gridSpan w:val="2"/>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F6D4A0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延续完成1个征收项目房屋征收面积</w:t>
            </w:r>
          </w:p>
        </w:tc>
        <w:tc>
          <w:tcPr>
            <w:tcW w:w="1146" w:type="dxa"/>
            <w:gridSpan w:val="2"/>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BAFF1F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&gt;=3100平方米</w:t>
            </w:r>
          </w:p>
        </w:tc>
        <w:tc>
          <w:tcPr>
            <w:tcW w:w="3017" w:type="dxa"/>
            <w:gridSpan w:val="2"/>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0644A">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经开区头区人民政府下发的火车西站片区106团家属院国有土地房屋及附属物征收安置补偿决定</w:t>
            </w:r>
          </w:p>
        </w:tc>
        <w:tc>
          <w:tcPr>
            <w:tcW w:w="691" w:type="dxa"/>
            <w:tcBorders>
              <w:top w:val="single" w:color="auto"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A6B6FD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18</w:t>
            </w:r>
          </w:p>
        </w:tc>
        <w:tc>
          <w:tcPr>
            <w:tcW w:w="1011" w:type="dxa"/>
            <w:gridSpan w:val="2"/>
            <w:tcBorders>
              <w:top w:val="single" w:color="auto"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9C3BAD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3100平方米</w:t>
            </w:r>
          </w:p>
        </w:tc>
        <w:tc>
          <w:tcPr>
            <w:tcW w:w="742" w:type="dxa"/>
            <w:tcBorders>
              <w:top w:val="single" w:color="auto"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C93995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w:t>
            </w:r>
          </w:p>
        </w:tc>
        <w:tc>
          <w:tcPr>
            <w:tcW w:w="418" w:type="dxa"/>
            <w:tcBorders>
              <w:top w:val="single" w:color="auto"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6C48AE29">
            <w:pPr>
              <w:rPr>
                <w:rFonts w:hint="eastAsia" w:ascii="宋体" w:hAnsi="宋体" w:eastAsia="宋体" w:cs="宋体"/>
                <w:i w:val="0"/>
                <w:color w:val="000000"/>
                <w:sz w:val="18"/>
                <w:szCs w:val="18"/>
                <w:u w:val="none"/>
              </w:rPr>
            </w:pPr>
          </w:p>
        </w:tc>
      </w:tr>
      <w:tr w14:paraId="55198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07" w:hRule="atLeast"/>
        </w:trPr>
        <w:tc>
          <w:tcPr>
            <w:tcW w:w="961" w:type="dxa"/>
            <w:vMerge w:val="continue"/>
            <w:tcBorders>
              <w:left w:val="single" w:color="000000" w:sz="4" w:space="0"/>
              <w:right w:val="single" w:color="auto" w:sz="4" w:space="0"/>
            </w:tcBorders>
            <w:shd w:val="clear" w:color="auto" w:fill="auto"/>
            <w:tcMar>
              <w:top w:w="15" w:type="dxa"/>
              <w:left w:w="15" w:type="dxa"/>
              <w:right w:w="15" w:type="dxa"/>
            </w:tcMar>
            <w:vAlign w:val="center"/>
          </w:tcPr>
          <w:p w14:paraId="294FAB89">
            <w:pPr>
              <w:rPr>
                <w:rFonts w:hint="eastAsia" w:ascii="宋体" w:hAnsi="宋体" w:eastAsia="宋体" w:cs="宋体"/>
                <w:i w:val="0"/>
                <w:color w:val="000000"/>
                <w:sz w:val="18"/>
                <w:szCs w:val="18"/>
                <w:u w:val="none"/>
              </w:rPr>
            </w:pPr>
          </w:p>
        </w:tc>
        <w:tc>
          <w:tcPr>
            <w:tcW w:w="927" w:type="dxa"/>
            <w:gridSpan w:val="2"/>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30B93F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数量指标</w:t>
            </w:r>
          </w:p>
        </w:tc>
        <w:tc>
          <w:tcPr>
            <w:tcW w:w="1719" w:type="dxa"/>
            <w:gridSpan w:val="2"/>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4A411F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延续完成1个征收项目土地征收面积</w:t>
            </w:r>
          </w:p>
        </w:tc>
        <w:tc>
          <w:tcPr>
            <w:tcW w:w="1146" w:type="dxa"/>
            <w:gridSpan w:val="2"/>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ABBB7F1">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&gt;=58666.67平方米</w:t>
            </w:r>
          </w:p>
        </w:tc>
        <w:tc>
          <w:tcPr>
            <w:tcW w:w="3017" w:type="dxa"/>
            <w:gridSpan w:val="2"/>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40BB34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关于西泉街九年一贯制学校项目立项批复【乌经开发改【2022】132号】</w:t>
            </w:r>
          </w:p>
        </w:tc>
        <w:tc>
          <w:tcPr>
            <w:tcW w:w="691" w:type="dxa"/>
            <w:tcBorders>
              <w:top w:val="single" w:color="000000"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14:paraId="34CB2A6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18</w:t>
            </w:r>
          </w:p>
        </w:tc>
        <w:tc>
          <w:tcPr>
            <w:tcW w:w="1011" w:type="dxa"/>
            <w:gridSpan w:val="2"/>
            <w:tcBorders>
              <w:top w:val="single" w:color="000000"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14:paraId="575A15D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59017平方米</w:t>
            </w:r>
          </w:p>
        </w:tc>
        <w:tc>
          <w:tcPr>
            <w:tcW w:w="742" w:type="dxa"/>
            <w:tcBorders>
              <w:top w:val="single" w:color="000000"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14:paraId="7451F63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w:t>
            </w:r>
          </w:p>
        </w:tc>
        <w:tc>
          <w:tcPr>
            <w:tcW w:w="418" w:type="dxa"/>
            <w:tcBorders>
              <w:top w:val="single" w:color="000000"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59C7088F">
            <w:pPr>
              <w:rPr>
                <w:rFonts w:hint="eastAsia" w:ascii="宋体" w:hAnsi="宋体" w:eastAsia="宋体" w:cs="宋体"/>
                <w:i w:val="0"/>
                <w:color w:val="000000"/>
                <w:sz w:val="18"/>
                <w:szCs w:val="18"/>
                <w:u w:val="none"/>
              </w:rPr>
            </w:pPr>
          </w:p>
        </w:tc>
      </w:tr>
      <w:tr w14:paraId="7F0D9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0" w:hRule="atLeast"/>
        </w:trPr>
        <w:tc>
          <w:tcPr>
            <w:tcW w:w="961" w:type="dxa"/>
            <w:vMerge w:val="continue"/>
            <w:tcBorders>
              <w:left w:val="single" w:color="000000" w:sz="4" w:space="0"/>
              <w:right w:val="single" w:color="auto" w:sz="4" w:space="0"/>
            </w:tcBorders>
            <w:shd w:val="clear" w:color="auto" w:fill="auto"/>
            <w:tcMar>
              <w:top w:w="15" w:type="dxa"/>
              <w:left w:w="15" w:type="dxa"/>
              <w:right w:w="15" w:type="dxa"/>
            </w:tcMar>
            <w:vAlign w:val="center"/>
          </w:tcPr>
          <w:p w14:paraId="48DF62AE">
            <w:pPr>
              <w:rPr>
                <w:rFonts w:hint="eastAsia" w:ascii="宋体" w:hAnsi="宋体" w:eastAsia="宋体" w:cs="宋体"/>
                <w:i w:val="0"/>
                <w:color w:val="000000"/>
                <w:sz w:val="18"/>
                <w:szCs w:val="18"/>
                <w:u w:val="none"/>
              </w:rPr>
            </w:pPr>
          </w:p>
        </w:tc>
        <w:tc>
          <w:tcPr>
            <w:tcW w:w="92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98C67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数量指标</w:t>
            </w:r>
          </w:p>
        </w:tc>
        <w:tc>
          <w:tcPr>
            <w:tcW w:w="1719"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9D4FE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完成土地储备录入面积</w:t>
            </w:r>
          </w:p>
        </w:tc>
        <w:tc>
          <w:tcPr>
            <w:tcW w:w="1146"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560D35">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&gt;=382.78公顷</w:t>
            </w:r>
          </w:p>
        </w:tc>
        <w:tc>
          <w:tcPr>
            <w:tcW w:w="301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E27D0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自然资源部关于升级土地储备监管系统的通知-自然资办函【2022】676号文</w:t>
            </w:r>
          </w:p>
        </w:tc>
        <w:tc>
          <w:tcPr>
            <w:tcW w:w="6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91937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18</w:t>
            </w:r>
          </w:p>
        </w:tc>
        <w:tc>
          <w:tcPr>
            <w:tcW w:w="101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B49BE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710.58公顷</w:t>
            </w:r>
          </w:p>
        </w:tc>
        <w:tc>
          <w:tcPr>
            <w:tcW w:w="7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3A324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w:t>
            </w:r>
          </w:p>
        </w:tc>
        <w:tc>
          <w:tcPr>
            <w:tcW w:w="4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8C2D79">
            <w:pPr>
              <w:rPr>
                <w:rFonts w:hint="eastAsia" w:ascii="宋体" w:hAnsi="宋体" w:eastAsia="宋体" w:cs="宋体"/>
                <w:i w:val="0"/>
                <w:color w:val="000000"/>
                <w:sz w:val="18"/>
                <w:szCs w:val="18"/>
                <w:u w:val="none"/>
              </w:rPr>
            </w:pPr>
          </w:p>
        </w:tc>
      </w:tr>
      <w:tr w14:paraId="7F92E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69" w:hRule="atLeast"/>
        </w:trPr>
        <w:tc>
          <w:tcPr>
            <w:tcW w:w="961" w:type="dxa"/>
            <w:vMerge w:val="continue"/>
            <w:tcBorders>
              <w:left w:val="single" w:color="000000" w:sz="4" w:space="0"/>
              <w:right w:val="single" w:color="auto" w:sz="4" w:space="0"/>
            </w:tcBorders>
            <w:shd w:val="clear" w:color="auto" w:fill="auto"/>
            <w:tcMar>
              <w:top w:w="15" w:type="dxa"/>
              <w:left w:w="15" w:type="dxa"/>
              <w:right w:w="15" w:type="dxa"/>
            </w:tcMar>
            <w:vAlign w:val="center"/>
          </w:tcPr>
          <w:p w14:paraId="0CF99F48">
            <w:pPr>
              <w:rPr>
                <w:rFonts w:hint="eastAsia" w:ascii="宋体" w:hAnsi="宋体" w:eastAsia="宋体" w:cs="宋体"/>
                <w:i w:val="0"/>
                <w:color w:val="000000"/>
                <w:sz w:val="18"/>
                <w:szCs w:val="18"/>
                <w:u w:val="none"/>
              </w:rPr>
            </w:pPr>
          </w:p>
        </w:tc>
        <w:tc>
          <w:tcPr>
            <w:tcW w:w="92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49899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数量指标</w:t>
            </w:r>
          </w:p>
        </w:tc>
        <w:tc>
          <w:tcPr>
            <w:tcW w:w="1719"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E9A11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移植树木数量</w:t>
            </w:r>
          </w:p>
        </w:tc>
        <w:tc>
          <w:tcPr>
            <w:tcW w:w="1146"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0BDEF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&gt;=471棵</w:t>
            </w:r>
          </w:p>
        </w:tc>
        <w:tc>
          <w:tcPr>
            <w:tcW w:w="301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CBBA4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疆酵文化产业园项目-乌经开房征请示【2023】209号</w:t>
            </w:r>
          </w:p>
        </w:tc>
        <w:tc>
          <w:tcPr>
            <w:tcW w:w="6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0C9C7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01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383B0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471棵</w:t>
            </w:r>
          </w:p>
        </w:tc>
        <w:tc>
          <w:tcPr>
            <w:tcW w:w="7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3D5DF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4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BB7592">
            <w:pPr>
              <w:rPr>
                <w:rFonts w:hint="eastAsia" w:ascii="宋体" w:hAnsi="宋体" w:eastAsia="宋体" w:cs="宋体"/>
                <w:i w:val="0"/>
                <w:color w:val="000000"/>
                <w:sz w:val="18"/>
                <w:szCs w:val="18"/>
                <w:u w:val="none"/>
              </w:rPr>
            </w:pPr>
          </w:p>
        </w:tc>
      </w:tr>
      <w:tr w14:paraId="05301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4" w:hRule="atLeast"/>
        </w:trPr>
        <w:tc>
          <w:tcPr>
            <w:tcW w:w="961" w:type="dxa"/>
            <w:vMerge w:val="continue"/>
            <w:tcBorders>
              <w:left w:val="single" w:color="000000" w:sz="4" w:space="0"/>
              <w:bottom w:val="single" w:color="auto" w:sz="4" w:space="0"/>
              <w:right w:val="single" w:color="auto" w:sz="4" w:space="0"/>
            </w:tcBorders>
            <w:shd w:val="clear" w:color="auto" w:fill="auto"/>
            <w:tcMar>
              <w:top w:w="15" w:type="dxa"/>
              <w:left w:w="15" w:type="dxa"/>
              <w:right w:w="15" w:type="dxa"/>
            </w:tcMar>
            <w:vAlign w:val="center"/>
          </w:tcPr>
          <w:p w14:paraId="6AE8C3A7">
            <w:pPr>
              <w:rPr>
                <w:rFonts w:hint="eastAsia" w:ascii="宋体" w:hAnsi="宋体" w:eastAsia="宋体" w:cs="宋体"/>
                <w:i w:val="0"/>
                <w:color w:val="000000"/>
                <w:sz w:val="18"/>
                <w:szCs w:val="18"/>
                <w:u w:val="none"/>
              </w:rPr>
            </w:pPr>
          </w:p>
        </w:tc>
        <w:tc>
          <w:tcPr>
            <w:tcW w:w="92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80983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数量指标</w:t>
            </w:r>
          </w:p>
        </w:tc>
        <w:tc>
          <w:tcPr>
            <w:tcW w:w="1719" w:type="dxa"/>
            <w:gridSpan w:val="2"/>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089FF33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政府购买服务协议数量</w:t>
            </w:r>
          </w:p>
        </w:tc>
        <w:tc>
          <w:tcPr>
            <w:tcW w:w="1146" w:type="dxa"/>
            <w:gridSpan w:val="2"/>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2C3F94B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&gt;=3个</w:t>
            </w:r>
          </w:p>
        </w:tc>
        <w:tc>
          <w:tcPr>
            <w:tcW w:w="3017" w:type="dxa"/>
            <w:gridSpan w:val="2"/>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278F88C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关于拨付2024年棚改项目政府购买服务费的请示-乌经开国投发【2024】4号文</w:t>
            </w:r>
          </w:p>
        </w:tc>
        <w:tc>
          <w:tcPr>
            <w:tcW w:w="691" w:type="dxa"/>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5B0CC63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011" w:type="dxa"/>
            <w:gridSpan w:val="2"/>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025DEEC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3个</w:t>
            </w:r>
          </w:p>
        </w:tc>
        <w:tc>
          <w:tcPr>
            <w:tcW w:w="742" w:type="dxa"/>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46B5039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418" w:type="dxa"/>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325DE485">
            <w:pPr>
              <w:rPr>
                <w:rFonts w:hint="eastAsia" w:ascii="宋体" w:hAnsi="宋体" w:eastAsia="宋体" w:cs="宋体"/>
                <w:i w:val="0"/>
                <w:color w:val="000000"/>
                <w:sz w:val="18"/>
                <w:szCs w:val="18"/>
                <w:u w:val="none"/>
              </w:rPr>
            </w:pPr>
          </w:p>
        </w:tc>
      </w:tr>
    </w:tbl>
    <w:p w14:paraId="05244BAC">
      <w:pPr>
        <w:rPr>
          <w:rFonts w:hint="eastAsia" w:ascii="黑体" w:hAnsi="黑体" w:eastAsia="黑体" w:cs="宋体"/>
          <w:bCs/>
          <w:kern w:val="0"/>
          <w:sz w:val="32"/>
          <w:szCs w:val="32"/>
        </w:rPr>
      </w:pPr>
    </w:p>
    <w:tbl>
      <w:tblPr>
        <w:tblStyle w:val="9"/>
        <w:tblW w:w="10854" w:type="dxa"/>
        <w:tblInd w:w="-10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45"/>
        <w:gridCol w:w="691"/>
        <w:gridCol w:w="1146"/>
        <w:gridCol w:w="1267"/>
        <w:gridCol w:w="1599"/>
        <w:gridCol w:w="1179"/>
        <w:gridCol w:w="1262"/>
        <w:gridCol w:w="269"/>
        <w:gridCol w:w="253"/>
        <w:gridCol w:w="336"/>
        <w:gridCol w:w="358"/>
        <w:gridCol w:w="647"/>
        <w:gridCol w:w="802"/>
      </w:tblGrid>
      <w:tr w14:paraId="6203B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10854" w:type="dxa"/>
            <w:gridSpan w:val="13"/>
            <w:tcBorders>
              <w:top w:val="nil"/>
              <w:left w:val="nil"/>
              <w:bottom w:val="nil"/>
              <w:right w:val="nil"/>
            </w:tcBorders>
            <w:shd w:val="clear" w:color="auto" w:fill="auto"/>
            <w:vAlign w:val="center"/>
          </w:tcPr>
          <w:p w14:paraId="3887D6B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1F04C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854" w:type="dxa"/>
            <w:gridSpan w:val="13"/>
            <w:tcBorders>
              <w:top w:val="nil"/>
              <w:left w:val="nil"/>
              <w:bottom w:val="nil"/>
              <w:right w:val="nil"/>
            </w:tcBorders>
            <w:shd w:val="clear" w:color="auto" w:fill="auto"/>
            <w:vAlign w:val="center"/>
          </w:tcPr>
          <w:p w14:paraId="5EF373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71004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trPr>
        <w:tc>
          <w:tcPr>
            <w:tcW w:w="1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1C85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911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9A02D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征收补偿项目经费</w:t>
            </w:r>
          </w:p>
        </w:tc>
      </w:tr>
      <w:tr w14:paraId="05BDF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AE85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40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0A31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乌鲁木齐经济技术开发区（乌鲁木齐市头屯河区）房屋征收与补偿管理办公室（土地征收管理办公室）</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4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392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314A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乌鲁木齐经济技术开发区（乌鲁木齐市头屯河区）房屋征收与补偿管理办公室（土地征收管理办公室）</w:t>
            </w:r>
          </w:p>
        </w:tc>
      </w:tr>
      <w:tr w14:paraId="313B9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trPr>
        <w:tc>
          <w:tcPr>
            <w:tcW w:w="173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DD58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24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A776C3">
            <w:pPr>
              <w:jc w:val="center"/>
              <w:rPr>
                <w:rFonts w:hint="eastAsia" w:ascii="宋体" w:hAnsi="宋体" w:eastAsia="宋体" w:cs="宋体"/>
                <w:i w:val="0"/>
                <w:iCs w:val="0"/>
                <w:color w:val="000000"/>
                <w:sz w:val="20"/>
                <w:szCs w:val="20"/>
                <w:u w:val="none"/>
              </w:rPr>
            </w:pP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249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07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15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E1E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5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0EB3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C51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FF7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3D6C4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17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B255F">
            <w:pPr>
              <w:jc w:val="center"/>
              <w:rPr>
                <w:rFonts w:hint="eastAsia" w:ascii="宋体" w:hAnsi="宋体" w:eastAsia="宋体" w:cs="宋体"/>
                <w:i w:val="0"/>
                <w:iCs w:val="0"/>
                <w:color w:val="000000"/>
                <w:sz w:val="20"/>
                <w:szCs w:val="20"/>
                <w:u w:val="none"/>
              </w:rPr>
            </w:pPr>
          </w:p>
        </w:tc>
        <w:tc>
          <w:tcPr>
            <w:tcW w:w="24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5D5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C6C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5548.41</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D6D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5548.41</w:t>
            </w:r>
          </w:p>
        </w:tc>
        <w:tc>
          <w:tcPr>
            <w:tcW w:w="15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6807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5548.41</w:t>
            </w:r>
          </w:p>
        </w:tc>
        <w:tc>
          <w:tcPr>
            <w:tcW w:w="5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F60C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DDCB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9F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10.00分</w:t>
            </w:r>
          </w:p>
        </w:tc>
      </w:tr>
      <w:tr w14:paraId="4F3F4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trPr>
        <w:tc>
          <w:tcPr>
            <w:tcW w:w="17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AA3D9">
            <w:pPr>
              <w:jc w:val="center"/>
              <w:rPr>
                <w:rFonts w:hint="eastAsia" w:ascii="宋体" w:hAnsi="宋体" w:eastAsia="宋体" w:cs="宋体"/>
                <w:i w:val="0"/>
                <w:iCs w:val="0"/>
                <w:color w:val="000000"/>
                <w:sz w:val="20"/>
                <w:szCs w:val="20"/>
                <w:u w:val="none"/>
              </w:rPr>
            </w:pPr>
          </w:p>
        </w:tc>
        <w:tc>
          <w:tcPr>
            <w:tcW w:w="24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1ABF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E35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5548.41</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0DF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5548.41</w:t>
            </w:r>
          </w:p>
        </w:tc>
        <w:tc>
          <w:tcPr>
            <w:tcW w:w="15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E686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5548.41</w:t>
            </w:r>
          </w:p>
        </w:tc>
        <w:tc>
          <w:tcPr>
            <w:tcW w:w="5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3650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DC9D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AC6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8718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17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7F47A">
            <w:pPr>
              <w:jc w:val="center"/>
              <w:rPr>
                <w:rFonts w:hint="eastAsia" w:ascii="宋体" w:hAnsi="宋体" w:eastAsia="宋体" w:cs="宋体"/>
                <w:i w:val="0"/>
                <w:iCs w:val="0"/>
                <w:color w:val="000000"/>
                <w:sz w:val="20"/>
                <w:szCs w:val="20"/>
                <w:u w:val="none"/>
              </w:rPr>
            </w:pPr>
          </w:p>
        </w:tc>
        <w:tc>
          <w:tcPr>
            <w:tcW w:w="24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2075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9EB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037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5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4F71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5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F041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6706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3A7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F978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trPr>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CA4C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588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D095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392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4C418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68ED5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7"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FD9CF">
            <w:pPr>
              <w:jc w:val="center"/>
              <w:rPr>
                <w:rFonts w:hint="eastAsia" w:ascii="宋体" w:hAnsi="宋体" w:eastAsia="宋体" w:cs="宋体"/>
                <w:i w:val="0"/>
                <w:iCs w:val="0"/>
                <w:color w:val="000000"/>
                <w:sz w:val="20"/>
                <w:szCs w:val="20"/>
                <w:u w:val="none"/>
              </w:rPr>
            </w:pPr>
          </w:p>
        </w:tc>
        <w:tc>
          <w:tcPr>
            <w:tcW w:w="5882"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39E722F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市委、区委关于房屋及土地征收工作的相关要求及工作需要，本项目总投资5548.41万元，主要用于实施行政区域内的房屋及土地征收与补偿相关工作，有利于改善各族群众的居住生活环境，夯实社会稳定和长治久安的社会基础，通过该项目实施达到推动征迁项目顺利实施，促进相关项目建设进度，提升城乡建设发展。</w:t>
            </w:r>
          </w:p>
        </w:tc>
        <w:tc>
          <w:tcPr>
            <w:tcW w:w="3927"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1042482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截至2024年12月31日，共支付项目资金5548.41万元，用于4个征收项目补偿相关工作，改善了各族群众的居住生活环境，促进项目建设进度，提升城乡建设发展。</w:t>
            </w:r>
          </w:p>
        </w:tc>
      </w:tr>
      <w:tr w14:paraId="6BBBF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BC044C">
            <w:pPr>
              <w:jc w:val="center"/>
              <w:rPr>
                <w:rFonts w:hint="eastAsia" w:ascii="宋体" w:hAnsi="宋体" w:eastAsia="宋体" w:cs="宋体"/>
                <w:i w:val="0"/>
                <w:iCs w:val="0"/>
                <w:color w:val="000000"/>
                <w:sz w:val="20"/>
                <w:szCs w:val="20"/>
                <w:u w:val="none"/>
              </w:rPr>
            </w:pPr>
          </w:p>
        </w:tc>
        <w:tc>
          <w:tcPr>
            <w:tcW w:w="6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E910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07CD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28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1D38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1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6770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2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90F9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5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44D6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69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BF89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4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21F1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4C8FF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F074C">
            <w:pPr>
              <w:jc w:val="center"/>
              <w:rPr>
                <w:rFonts w:hint="eastAsia" w:ascii="宋体" w:hAnsi="宋体" w:eastAsia="宋体" w:cs="宋体"/>
                <w:i w:val="0"/>
                <w:iCs w:val="0"/>
                <w:color w:val="000000"/>
                <w:sz w:val="20"/>
                <w:szCs w:val="20"/>
                <w:u w:val="none"/>
              </w:rPr>
            </w:pPr>
          </w:p>
        </w:tc>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C4C5D">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B3E7C">
            <w:pPr>
              <w:jc w:val="center"/>
              <w:rPr>
                <w:rFonts w:hint="eastAsia" w:ascii="宋体" w:hAnsi="宋体" w:eastAsia="宋体" w:cs="宋体"/>
                <w:i w:val="0"/>
                <w:iCs w:val="0"/>
                <w:color w:val="000000"/>
                <w:sz w:val="20"/>
                <w:szCs w:val="20"/>
                <w:u w:val="none"/>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70BEE">
            <w:pPr>
              <w:jc w:val="center"/>
              <w:rPr>
                <w:rFonts w:hint="eastAsia" w:ascii="宋体" w:hAnsi="宋体" w:eastAsia="宋体" w:cs="宋体"/>
                <w:i w:val="0"/>
                <w:iCs w:val="0"/>
                <w:color w:val="000000"/>
                <w:sz w:val="20"/>
                <w:szCs w:val="20"/>
                <w:u w:val="none"/>
              </w:rPr>
            </w:pPr>
          </w:p>
        </w:tc>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FA246">
            <w:pPr>
              <w:jc w:val="center"/>
              <w:rPr>
                <w:rFonts w:hint="eastAsia" w:ascii="宋体" w:hAnsi="宋体" w:eastAsia="宋体" w:cs="宋体"/>
                <w:i w:val="0"/>
                <w:iCs w:val="0"/>
                <w:color w:val="000000"/>
                <w:sz w:val="20"/>
                <w:szCs w:val="20"/>
                <w:u w:val="none"/>
              </w:rPr>
            </w:pPr>
          </w:p>
        </w:tc>
        <w:tc>
          <w:tcPr>
            <w:tcW w:w="12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7157C">
            <w:pPr>
              <w:jc w:val="center"/>
              <w:rPr>
                <w:rFonts w:hint="eastAsia" w:ascii="宋体" w:hAnsi="宋体" w:eastAsia="宋体" w:cs="宋体"/>
                <w:i w:val="0"/>
                <w:iCs w:val="0"/>
                <w:color w:val="000000"/>
                <w:sz w:val="20"/>
                <w:szCs w:val="20"/>
                <w:u w:val="none"/>
              </w:rPr>
            </w:pPr>
          </w:p>
        </w:tc>
        <w:tc>
          <w:tcPr>
            <w:tcW w:w="5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A9617">
            <w:pPr>
              <w:jc w:val="center"/>
              <w:rPr>
                <w:rFonts w:hint="eastAsia" w:ascii="宋体" w:hAnsi="宋体" w:eastAsia="宋体" w:cs="宋体"/>
                <w:i w:val="0"/>
                <w:iCs w:val="0"/>
                <w:color w:val="000000"/>
                <w:sz w:val="20"/>
                <w:szCs w:val="20"/>
                <w:u w:val="none"/>
              </w:rPr>
            </w:pPr>
          </w:p>
        </w:tc>
        <w:tc>
          <w:tcPr>
            <w:tcW w:w="69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F08CA">
            <w:pPr>
              <w:jc w:val="center"/>
              <w:rPr>
                <w:rFonts w:hint="eastAsia" w:ascii="宋体" w:hAnsi="宋体" w:eastAsia="宋体" w:cs="宋体"/>
                <w:i w:val="0"/>
                <w:iCs w:val="0"/>
                <w:color w:val="000000"/>
                <w:sz w:val="20"/>
                <w:szCs w:val="20"/>
                <w:u w:val="none"/>
              </w:rPr>
            </w:pPr>
          </w:p>
        </w:tc>
        <w:tc>
          <w:tcPr>
            <w:tcW w:w="1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3FB3E">
            <w:pPr>
              <w:jc w:val="center"/>
              <w:rPr>
                <w:rFonts w:hint="eastAsia" w:ascii="宋体" w:hAnsi="宋体" w:eastAsia="宋体" w:cs="宋体"/>
                <w:i w:val="0"/>
                <w:iCs w:val="0"/>
                <w:color w:val="000000"/>
                <w:sz w:val="20"/>
                <w:szCs w:val="20"/>
                <w:u w:val="none"/>
              </w:rPr>
            </w:pPr>
          </w:p>
        </w:tc>
      </w:tr>
      <w:tr w14:paraId="384E6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1DF6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6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B3A1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C1F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09B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征收项目数量</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3A3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&gt;=4个</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0EF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=4个</w:t>
            </w:r>
          </w:p>
        </w:tc>
        <w:tc>
          <w:tcPr>
            <w:tcW w:w="5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B5BE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4303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8C150D">
            <w:pPr>
              <w:jc w:val="center"/>
              <w:rPr>
                <w:rFonts w:hint="eastAsia" w:ascii="宋体" w:hAnsi="宋体" w:eastAsia="宋体" w:cs="宋体"/>
                <w:i w:val="0"/>
                <w:iCs w:val="0"/>
                <w:color w:val="000000"/>
                <w:sz w:val="20"/>
                <w:szCs w:val="20"/>
                <w:u w:val="none"/>
              </w:rPr>
            </w:pPr>
          </w:p>
        </w:tc>
      </w:tr>
      <w:tr w14:paraId="5A379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901E6">
            <w:pPr>
              <w:jc w:val="center"/>
              <w:rPr>
                <w:rFonts w:hint="eastAsia" w:ascii="宋体" w:hAnsi="宋体" w:eastAsia="宋体" w:cs="宋体"/>
                <w:i w:val="0"/>
                <w:iCs w:val="0"/>
                <w:color w:val="000000"/>
                <w:sz w:val="20"/>
                <w:szCs w:val="20"/>
                <w:u w:val="none"/>
              </w:rPr>
            </w:pPr>
          </w:p>
        </w:tc>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AFDAE">
            <w:pPr>
              <w:jc w:val="center"/>
              <w:rPr>
                <w:rFonts w:hint="eastAsia" w:ascii="宋体" w:hAnsi="宋体" w:eastAsia="宋体" w:cs="宋体"/>
                <w:i w:val="0"/>
                <w:iCs w:val="0"/>
                <w:color w:val="000000"/>
                <w:sz w:val="20"/>
                <w:szCs w:val="20"/>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FE0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ADB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征收项目工作完成率</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E8B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0BA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5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2439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6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BEBD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89856B">
            <w:pPr>
              <w:jc w:val="center"/>
              <w:rPr>
                <w:rFonts w:hint="eastAsia" w:ascii="宋体" w:hAnsi="宋体" w:eastAsia="宋体" w:cs="宋体"/>
                <w:i w:val="0"/>
                <w:iCs w:val="0"/>
                <w:color w:val="000000"/>
                <w:sz w:val="20"/>
                <w:szCs w:val="20"/>
                <w:u w:val="none"/>
              </w:rPr>
            </w:pPr>
          </w:p>
        </w:tc>
      </w:tr>
      <w:tr w14:paraId="061F5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56E41">
            <w:pPr>
              <w:jc w:val="center"/>
              <w:rPr>
                <w:rFonts w:hint="eastAsia" w:ascii="宋体" w:hAnsi="宋体" w:eastAsia="宋体" w:cs="宋体"/>
                <w:i w:val="0"/>
                <w:iCs w:val="0"/>
                <w:color w:val="000000"/>
                <w:sz w:val="20"/>
                <w:szCs w:val="20"/>
                <w:u w:val="none"/>
              </w:rPr>
            </w:pPr>
          </w:p>
        </w:tc>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19A66">
            <w:pPr>
              <w:jc w:val="center"/>
              <w:rPr>
                <w:rFonts w:hint="eastAsia" w:ascii="宋体" w:hAnsi="宋体" w:eastAsia="宋体" w:cs="宋体"/>
                <w:i w:val="0"/>
                <w:iCs w:val="0"/>
                <w:color w:val="000000"/>
                <w:sz w:val="20"/>
                <w:szCs w:val="20"/>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C50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A54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征收项目经费支付及时率</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A7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2E3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5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9789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6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CECB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DB1ADC">
            <w:pPr>
              <w:jc w:val="center"/>
              <w:rPr>
                <w:rFonts w:hint="eastAsia" w:ascii="宋体" w:hAnsi="宋体" w:eastAsia="宋体" w:cs="宋体"/>
                <w:i w:val="0"/>
                <w:iCs w:val="0"/>
                <w:color w:val="000000"/>
                <w:sz w:val="20"/>
                <w:szCs w:val="20"/>
                <w:u w:val="none"/>
              </w:rPr>
            </w:pPr>
          </w:p>
        </w:tc>
      </w:tr>
      <w:tr w14:paraId="07155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937D6">
            <w:pPr>
              <w:jc w:val="center"/>
              <w:rPr>
                <w:rFonts w:hint="eastAsia" w:ascii="宋体" w:hAnsi="宋体" w:eastAsia="宋体" w:cs="宋体"/>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458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3A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8AC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征收补偿项目成本</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C65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=5548.41万元</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92B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=5548.41万元</w:t>
            </w:r>
          </w:p>
        </w:tc>
        <w:tc>
          <w:tcPr>
            <w:tcW w:w="5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6B1E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3036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F1C146">
            <w:pPr>
              <w:jc w:val="center"/>
              <w:rPr>
                <w:rFonts w:hint="eastAsia" w:ascii="宋体" w:hAnsi="宋体" w:eastAsia="宋体" w:cs="宋体"/>
                <w:i w:val="0"/>
                <w:iCs w:val="0"/>
                <w:color w:val="000000"/>
                <w:sz w:val="20"/>
                <w:szCs w:val="20"/>
                <w:u w:val="none"/>
              </w:rPr>
            </w:pPr>
          </w:p>
        </w:tc>
      </w:tr>
      <w:tr w14:paraId="407BE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C2B08">
            <w:pPr>
              <w:jc w:val="center"/>
              <w:rPr>
                <w:rFonts w:hint="eastAsia" w:ascii="宋体" w:hAnsi="宋体" w:eastAsia="宋体" w:cs="宋体"/>
                <w:i w:val="0"/>
                <w:iCs w:val="0"/>
                <w:color w:val="000000"/>
                <w:sz w:val="20"/>
                <w:szCs w:val="20"/>
                <w:u w:val="none"/>
              </w:rPr>
            </w:pPr>
          </w:p>
        </w:tc>
        <w:tc>
          <w:tcPr>
            <w:tcW w:w="6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B324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E184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B08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促进项目建设进度，提升城乡建设发展</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71A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效果显著</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A4B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效果显著</w:t>
            </w:r>
          </w:p>
        </w:tc>
        <w:tc>
          <w:tcPr>
            <w:tcW w:w="5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398A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A10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552966">
            <w:pPr>
              <w:jc w:val="center"/>
              <w:rPr>
                <w:rFonts w:hint="eastAsia" w:ascii="宋体" w:hAnsi="宋体" w:eastAsia="宋体" w:cs="宋体"/>
                <w:i w:val="0"/>
                <w:iCs w:val="0"/>
                <w:color w:val="000000"/>
                <w:sz w:val="20"/>
                <w:szCs w:val="20"/>
                <w:u w:val="none"/>
              </w:rPr>
            </w:pPr>
          </w:p>
        </w:tc>
      </w:tr>
      <w:tr w14:paraId="42073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7A400">
            <w:pPr>
              <w:jc w:val="center"/>
              <w:rPr>
                <w:rFonts w:hint="eastAsia" w:ascii="宋体" w:hAnsi="宋体" w:eastAsia="宋体" w:cs="宋体"/>
                <w:i w:val="0"/>
                <w:iCs w:val="0"/>
                <w:color w:val="000000"/>
                <w:sz w:val="20"/>
                <w:szCs w:val="20"/>
                <w:u w:val="none"/>
              </w:rPr>
            </w:pPr>
          </w:p>
        </w:tc>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6989B">
            <w:pPr>
              <w:jc w:val="center"/>
              <w:rPr>
                <w:rFonts w:hint="eastAsia" w:ascii="宋体" w:hAnsi="宋体" w:eastAsia="宋体" w:cs="宋体"/>
                <w:i w:val="0"/>
                <w:iCs w:val="0"/>
                <w:color w:val="000000"/>
                <w:sz w:val="20"/>
                <w:szCs w:val="20"/>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E63D5">
            <w:pPr>
              <w:jc w:val="center"/>
              <w:rPr>
                <w:rFonts w:hint="eastAsia" w:ascii="宋体" w:hAnsi="宋体" w:eastAsia="宋体" w:cs="宋体"/>
                <w:i w:val="0"/>
                <w:iCs w:val="0"/>
                <w:color w:val="000000"/>
                <w:sz w:val="20"/>
                <w:szCs w:val="20"/>
                <w:u w:val="none"/>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4E6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改善各族群众的居住生活环境</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98F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有效改善</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C47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有效改善</w:t>
            </w:r>
          </w:p>
        </w:tc>
        <w:tc>
          <w:tcPr>
            <w:tcW w:w="5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ADF7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A1E5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544330">
            <w:pPr>
              <w:jc w:val="center"/>
              <w:rPr>
                <w:rFonts w:hint="eastAsia" w:ascii="宋体" w:hAnsi="宋体" w:eastAsia="宋体" w:cs="宋体"/>
                <w:i w:val="0"/>
                <w:iCs w:val="0"/>
                <w:color w:val="000000"/>
                <w:sz w:val="20"/>
                <w:szCs w:val="20"/>
                <w:u w:val="none"/>
              </w:rPr>
            </w:pPr>
          </w:p>
        </w:tc>
      </w:tr>
      <w:tr w14:paraId="6F009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AE921">
            <w:pPr>
              <w:jc w:val="center"/>
              <w:rPr>
                <w:rFonts w:hint="eastAsia" w:ascii="宋体" w:hAnsi="宋体" w:eastAsia="宋体" w:cs="宋体"/>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A7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8DE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169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征迁群众满意度（%）</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64D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6DD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5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7858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FA38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13ABAE">
            <w:pPr>
              <w:jc w:val="center"/>
              <w:rPr>
                <w:rFonts w:hint="eastAsia" w:ascii="宋体" w:hAnsi="宋体" w:eastAsia="宋体" w:cs="宋体"/>
                <w:i w:val="0"/>
                <w:iCs w:val="0"/>
                <w:color w:val="000000"/>
                <w:sz w:val="20"/>
                <w:szCs w:val="20"/>
                <w:u w:val="none"/>
              </w:rPr>
            </w:pPr>
          </w:p>
        </w:tc>
      </w:tr>
      <w:tr w14:paraId="5FE96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818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081A9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5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262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82A8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100.00分</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DA3003">
            <w:pPr>
              <w:jc w:val="center"/>
              <w:rPr>
                <w:rFonts w:hint="eastAsia" w:ascii="宋体" w:hAnsi="宋体" w:eastAsia="宋体" w:cs="宋体"/>
                <w:i w:val="0"/>
                <w:iCs w:val="0"/>
                <w:color w:val="000000"/>
                <w:sz w:val="20"/>
                <w:szCs w:val="20"/>
                <w:u w:val="none"/>
              </w:rPr>
            </w:pPr>
          </w:p>
        </w:tc>
      </w:tr>
    </w:tbl>
    <w:tbl>
      <w:tblPr>
        <w:tblStyle w:val="9"/>
        <w:tblpPr w:leftFromText="180" w:rightFromText="180" w:vertAnchor="text" w:horzAnchor="page" w:tblpX="573" w:tblpY="621"/>
        <w:tblOverlap w:val="never"/>
        <w:tblW w:w="1075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6"/>
        <w:gridCol w:w="788"/>
        <w:gridCol w:w="1318"/>
        <w:gridCol w:w="1113"/>
        <w:gridCol w:w="1274"/>
        <w:gridCol w:w="1523"/>
        <w:gridCol w:w="1499"/>
        <w:gridCol w:w="324"/>
        <w:gridCol w:w="318"/>
        <w:gridCol w:w="321"/>
        <w:gridCol w:w="413"/>
        <w:gridCol w:w="571"/>
        <w:gridCol w:w="874"/>
      </w:tblGrid>
      <w:tr w14:paraId="69EAD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trPr>
        <w:tc>
          <w:tcPr>
            <w:tcW w:w="10752" w:type="dxa"/>
            <w:gridSpan w:val="13"/>
            <w:tcBorders>
              <w:top w:val="nil"/>
              <w:left w:val="nil"/>
              <w:bottom w:val="nil"/>
              <w:right w:val="nil"/>
            </w:tcBorders>
            <w:shd w:val="clear" w:color="auto" w:fill="auto"/>
            <w:vAlign w:val="center"/>
          </w:tcPr>
          <w:p w14:paraId="10C4E71A">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7CD30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trPr>
        <w:tc>
          <w:tcPr>
            <w:tcW w:w="10752" w:type="dxa"/>
            <w:gridSpan w:val="13"/>
            <w:tcBorders>
              <w:top w:val="nil"/>
              <w:left w:val="nil"/>
              <w:bottom w:val="nil"/>
              <w:right w:val="nil"/>
            </w:tcBorders>
            <w:shd w:val="clear" w:color="auto" w:fill="auto"/>
            <w:vAlign w:val="center"/>
          </w:tcPr>
          <w:p w14:paraId="5B3255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5EB15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trPr>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3D4D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954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FA56F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业务运转经费</w:t>
            </w:r>
          </w:p>
        </w:tc>
      </w:tr>
      <w:tr w14:paraId="7D15F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8" w:hRule="atLeast"/>
        </w:trPr>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12CF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7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5E44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乌鲁木齐经济技术开发区（乌鲁木齐市头屯河区）房屋征收与补偿管理办公室（土地征收管理办公室）</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D73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43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B9A19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乌鲁木齐经济技术开发区（乌鲁木齐市头屯河区）房屋征收与补偿管理办公室（土地征收管理办公室）</w:t>
            </w:r>
          </w:p>
        </w:tc>
      </w:tr>
      <w:tr w14:paraId="4194F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trPr>
        <w:tc>
          <w:tcPr>
            <w:tcW w:w="12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000F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2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C027F0">
            <w:pPr>
              <w:jc w:val="center"/>
              <w:rPr>
                <w:rFonts w:hint="eastAsia" w:ascii="宋体" w:hAnsi="宋体" w:eastAsia="宋体" w:cs="宋体"/>
                <w:i w:val="0"/>
                <w:iCs w:val="0"/>
                <w:color w:val="000000"/>
                <w:sz w:val="20"/>
                <w:szCs w:val="20"/>
                <w:u w:val="none"/>
              </w:rPr>
            </w:pP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6C2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4AF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1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0316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6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68CF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3B1B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CB0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7CEE0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12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CF50D">
            <w:pPr>
              <w:jc w:val="center"/>
              <w:rPr>
                <w:rFonts w:hint="eastAsia" w:ascii="宋体" w:hAnsi="宋体" w:eastAsia="宋体" w:cs="宋体"/>
                <w:i w:val="0"/>
                <w:iCs w:val="0"/>
                <w:color w:val="000000"/>
                <w:sz w:val="20"/>
                <w:szCs w:val="20"/>
                <w:u w:val="none"/>
              </w:rPr>
            </w:pPr>
          </w:p>
        </w:tc>
        <w:tc>
          <w:tcPr>
            <w:tcW w:w="2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AB7B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8D5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278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8691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6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56B6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B64E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280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10.00分</w:t>
            </w:r>
          </w:p>
        </w:tc>
      </w:tr>
      <w:tr w14:paraId="50D33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trPr>
        <w:tc>
          <w:tcPr>
            <w:tcW w:w="12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4747B">
            <w:pPr>
              <w:jc w:val="center"/>
              <w:rPr>
                <w:rFonts w:hint="eastAsia" w:ascii="宋体" w:hAnsi="宋体" w:eastAsia="宋体" w:cs="宋体"/>
                <w:i w:val="0"/>
                <w:iCs w:val="0"/>
                <w:color w:val="000000"/>
                <w:sz w:val="20"/>
                <w:szCs w:val="20"/>
                <w:u w:val="none"/>
              </w:rPr>
            </w:pPr>
          </w:p>
        </w:tc>
        <w:tc>
          <w:tcPr>
            <w:tcW w:w="2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F05D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F28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C2D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45BA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4EE8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E0DA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C83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AB83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trPr>
        <w:tc>
          <w:tcPr>
            <w:tcW w:w="12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3C57D">
            <w:pPr>
              <w:jc w:val="center"/>
              <w:rPr>
                <w:rFonts w:hint="eastAsia" w:ascii="宋体" w:hAnsi="宋体" w:eastAsia="宋体" w:cs="宋体"/>
                <w:i w:val="0"/>
                <w:iCs w:val="0"/>
                <w:color w:val="000000"/>
                <w:sz w:val="20"/>
                <w:szCs w:val="20"/>
                <w:u w:val="none"/>
              </w:rPr>
            </w:pPr>
          </w:p>
        </w:tc>
        <w:tc>
          <w:tcPr>
            <w:tcW w:w="2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6711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612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AFB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01A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2BD6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81C7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6DF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1FEF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1EBD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60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61E5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43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AE011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3B8EF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6F22C">
            <w:pPr>
              <w:jc w:val="center"/>
              <w:rPr>
                <w:rFonts w:hint="eastAsia" w:ascii="宋体" w:hAnsi="宋体" w:eastAsia="宋体" w:cs="宋体"/>
                <w:i w:val="0"/>
                <w:iCs w:val="0"/>
                <w:color w:val="000000"/>
                <w:sz w:val="20"/>
                <w:szCs w:val="20"/>
                <w:u w:val="none"/>
              </w:rPr>
            </w:pPr>
          </w:p>
        </w:tc>
        <w:tc>
          <w:tcPr>
            <w:tcW w:w="6016"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7B02767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市委、区委关于房屋及土地征收工作的相关要求及工作需要，本项目总投资3万元，主要用于弥补办公经费及聘请第三方服务机构，其中包括：财务代理服务费、法律咨询费、蓝图测绘费，有利于保障单位正常运行，通过该项目实施达到征收工作依法依规进行，征收前期测绘工作顺利实施。</w:t>
            </w:r>
          </w:p>
        </w:tc>
        <w:tc>
          <w:tcPr>
            <w:tcW w:w="4320"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20CBA13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截至2024年12月31日，项目共计支出3万元，用于弥补办公经费1万元及聘请第三方服务机构（财务代理服务费、法律咨询费、蓝图测绘费）2万元，保障了单位正常运行，征收前期测绘工作顺利实施。</w:t>
            </w:r>
          </w:p>
        </w:tc>
      </w:tr>
      <w:tr w14:paraId="5418A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EB75D9">
            <w:pPr>
              <w:jc w:val="center"/>
              <w:rPr>
                <w:rFonts w:hint="eastAsia" w:ascii="宋体" w:hAnsi="宋体" w:eastAsia="宋体" w:cs="宋体"/>
                <w:i w:val="0"/>
                <w:iCs w:val="0"/>
                <w:color w:val="000000"/>
                <w:sz w:val="20"/>
                <w:szCs w:val="20"/>
                <w:u w:val="none"/>
              </w:rPr>
            </w:pPr>
          </w:p>
        </w:tc>
        <w:tc>
          <w:tcPr>
            <w:tcW w:w="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5C7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3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D78B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23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3574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5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668D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4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C9C3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6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A33D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7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C03F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4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8C2F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327FE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D8F18">
            <w:pPr>
              <w:jc w:val="center"/>
              <w:rPr>
                <w:rFonts w:hint="eastAsia" w:ascii="宋体" w:hAnsi="宋体" w:eastAsia="宋体" w:cs="宋体"/>
                <w:i w:val="0"/>
                <w:iCs w:val="0"/>
                <w:color w:val="000000"/>
                <w:sz w:val="20"/>
                <w:szCs w:val="20"/>
                <w:u w:val="none"/>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D03CE">
            <w:pPr>
              <w:jc w:val="center"/>
              <w:rPr>
                <w:rFonts w:hint="eastAsia" w:ascii="宋体" w:hAnsi="宋体" w:eastAsia="宋体" w:cs="宋体"/>
                <w:i w:val="0"/>
                <w:iCs w:val="0"/>
                <w:color w:val="000000"/>
                <w:sz w:val="20"/>
                <w:szCs w:val="20"/>
                <w:u w:val="none"/>
              </w:rPr>
            </w:pP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F001D">
            <w:pPr>
              <w:jc w:val="center"/>
              <w:rPr>
                <w:rFonts w:hint="eastAsia" w:ascii="宋体" w:hAnsi="宋体" w:eastAsia="宋体" w:cs="宋体"/>
                <w:i w:val="0"/>
                <w:iCs w:val="0"/>
                <w:color w:val="000000"/>
                <w:sz w:val="20"/>
                <w:szCs w:val="20"/>
                <w:u w:val="none"/>
              </w:rPr>
            </w:pPr>
          </w:p>
        </w:tc>
        <w:tc>
          <w:tcPr>
            <w:tcW w:w="23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29891">
            <w:pPr>
              <w:jc w:val="center"/>
              <w:rPr>
                <w:rFonts w:hint="eastAsia" w:ascii="宋体" w:hAnsi="宋体" w:eastAsia="宋体" w:cs="宋体"/>
                <w:i w:val="0"/>
                <w:iCs w:val="0"/>
                <w:color w:val="000000"/>
                <w:sz w:val="20"/>
                <w:szCs w:val="20"/>
                <w:u w:val="none"/>
              </w:rPr>
            </w:pPr>
          </w:p>
        </w:tc>
        <w:tc>
          <w:tcPr>
            <w:tcW w:w="15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BE713">
            <w:pPr>
              <w:jc w:val="center"/>
              <w:rPr>
                <w:rFonts w:hint="eastAsia" w:ascii="宋体" w:hAnsi="宋体" w:eastAsia="宋体" w:cs="宋体"/>
                <w:i w:val="0"/>
                <w:iCs w:val="0"/>
                <w:color w:val="000000"/>
                <w:sz w:val="20"/>
                <w:szCs w:val="20"/>
                <w:u w:val="none"/>
              </w:rPr>
            </w:pPr>
          </w:p>
        </w:tc>
        <w:tc>
          <w:tcPr>
            <w:tcW w:w="14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5BFB9">
            <w:pPr>
              <w:jc w:val="center"/>
              <w:rPr>
                <w:rFonts w:hint="eastAsia" w:ascii="宋体" w:hAnsi="宋体" w:eastAsia="宋体" w:cs="宋体"/>
                <w:i w:val="0"/>
                <w:iCs w:val="0"/>
                <w:color w:val="000000"/>
                <w:sz w:val="20"/>
                <w:szCs w:val="20"/>
                <w:u w:val="none"/>
              </w:rPr>
            </w:pPr>
          </w:p>
        </w:tc>
        <w:tc>
          <w:tcPr>
            <w:tcW w:w="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39140">
            <w:pPr>
              <w:jc w:val="center"/>
              <w:rPr>
                <w:rFonts w:hint="eastAsia" w:ascii="宋体" w:hAnsi="宋体" w:eastAsia="宋体" w:cs="宋体"/>
                <w:i w:val="0"/>
                <w:iCs w:val="0"/>
                <w:color w:val="000000"/>
                <w:sz w:val="20"/>
                <w:szCs w:val="20"/>
                <w:u w:val="none"/>
              </w:rPr>
            </w:pPr>
          </w:p>
        </w:tc>
        <w:tc>
          <w:tcPr>
            <w:tcW w:w="7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38A22">
            <w:pPr>
              <w:jc w:val="center"/>
              <w:rPr>
                <w:rFonts w:hint="eastAsia" w:ascii="宋体" w:hAnsi="宋体" w:eastAsia="宋体" w:cs="宋体"/>
                <w:i w:val="0"/>
                <w:iCs w:val="0"/>
                <w:color w:val="000000"/>
                <w:sz w:val="20"/>
                <w:szCs w:val="20"/>
                <w:u w:val="none"/>
              </w:rPr>
            </w:pPr>
          </w:p>
        </w:tc>
        <w:tc>
          <w:tcPr>
            <w:tcW w:w="14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7357C">
            <w:pPr>
              <w:jc w:val="center"/>
              <w:rPr>
                <w:rFonts w:hint="eastAsia" w:ascii="宋体" w:hAnsi="宋体" w:eastAsia="宋体" w:cs="宋体"/>
                <w:i w:val="0"/>
                <w:iCs w:val="0"/>
                <w:color w:val="000000"/>
                <w:sz w:val="20"/>
                <w:szCs w:val="20"/>
                <w:u w:val="none"/>
              </w:rPr>
            </w:pPr>
          </w:p>
        </w:tc>
      </w:tr>
      <w:tr w14:paraId="3213A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5"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57A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3F65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13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756E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23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CCA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保障办公经费人数</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0D2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&lt;=34人</w:t>
            </w:r>
          </w:p>
        </w:tc>
        <w:tc>
          <w:tcPr>
            <w:tcW w:w="1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6B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=32人</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A3B2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FE99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7.53</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513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编制人数34人，实有32人。由于我办为全额拨款事业单位，人员均由区政府统一调配，因此人员未配备齐全，我办已向人社局申请补全人员配备。</w:t>
            </w:r>
          </w:p>
        </w:tc>
      </w:tr>
      <w:tr w14:paraId="307CF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77449">
            <w:pPr>
              <w:jc w:val="center"/>
              <w:rPr>
                <w:rFonts w:hint="eastAsia" w:ascii="宋体" w:hAnsi="宋体" w:eastAsia="宋体" w:cs="宋体"/>
                <w:i w:val="0"/>
                <w:iCs w:val="0"/>
                <w:color w:val="000000"/>
                <w:sz w:val="20"/>
                <w:szCs w:val="20"/>
                <w:u w:val="none"/>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87ECD">
            <w:pPr>
              <w:jc w:val="center"/>
              <w:rPr>
                <w:rFonts w:hint="eastAsia" w:ascii="宋体" w:hAnsi="宋体" w:eastAsia="宋体" w:cs="宋体"/>
                <w:i w:val="0"/>
                <w:iCs w:val="0"/>
                <w:color w:val="000000"/>
                <w:sz w:val="20"/>
                <w:szCs w:val="20"/>
                <w:u w:val="none"/>
              </w:rPr>
            </w:pP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04428">
            <w:pPr>
              <w:jc w:val="center"/>
              <w:rPr>
                <w:rFonts w:hint="eastAsia" w:ascii="宋体" w:hAnsi="宋体" w:eastAsia="宋体" w:cs="宋体"/>
                <w:i w:val="0"/>
                <w:iCs w:val="0"/>
                <w:color w:val="000000"/>
                <w:sz w:val="20"/>
                <w:szCs w:val="20"/>
                <w:u w:val="none"/>
              </w:rPr>
            </w:pPr>
          </w:p>
        </w:tc>
        <w:tc>
          <w:tcPr>
            <w:tcW w:w="23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676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聘请第三方服务机构的次数</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E6C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&gt;=2次</w:t>
            </w:r>
          </w:p>
        </w:tc>
        <w:tc>
          <w:tcPr>
            <w:tcW w:w="1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158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=2次</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CE96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271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F118ED">
            <w:pPr>
              <w:jc w:val="center"/>
              <w:rPr>
                <w:rFonts w:hint="eastAsia" w:ascii="宋体" w:hAnsi="宋体" w:eastAsia="宋体" w:cs="宋体"/>
                <w:i w:val="0"/>
                <w:iCs w:val="0"/>
                <w:color w:val="000000"/>
                <w:sz w:val="20"/>
                <w:szCs w:val="20"/>
                <w:u w:val="none"/>
              </w:rPr>
            </w:pPr>
          </w:p>
        </w:tc>
      </w:tr>
      <w:tr w14:paraId="016FF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6376A">
            <w:pPr>
              <w:jc w:val="center"/>
              <w:rPr>
                <w:rFonts w:hint="eastAsia" w:ascii="宋体" w:hAnsi="宋体" w:eastAsia="宋体" w:cs="宋体"/>
                <w:i w:val="0"/>
                <w:iCs w:val="0"/>
                <w:color w:val="000000"/>
                <w:sz w:val="20"/>
                <w:szCs w:val="20"/>
                <w:u w:val="none"/>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48765">
            <w:pPr>
              <w:jc w:val="center"/>
              <w:rPr>
                <w:rFonts w:hint="eastAsia" w:ascii="宋体" w:hAnsi="宋体" w:eastAsia="宋体" w:cs="宋体"/>
                <w:i w:val="0"/>
                <w:iCs w:val="0"/>
                <w:color w:val="000000"/>
                <w:sz w:val="20"/>
                <w:szCs w:val="20"/>
                <w:u w:val="none"/>
              </w:rPr>
            </w:pPr>
          </w:p>
        </w:tc>
        <w:tc>
          <w:tcPr>
            <w:tcW w:w="13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D079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3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98A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办公用品验收合格率</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311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1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0BE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E100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4446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11B2B5">
            <w:pPr>
              <w:jc w:val="center"/>
              <w:rPr>
                <w:rFonts w:hint="eastAsia" w:ascii="宋体" w:hAnsi="宋体" w:eastAsia="宋体" w:cs="宋体"/>
                <w:i w:val="0"/>
                <w:iCs w:val="0"/>
                <w:color w:val="000000"/>
                <w:sz w:val="20"/>
                <w:szCs w:val="20"/>
                <w:u w:val="none"/>
              </w:rPr>
            </w:pPr>
          </w:p>
        </w:tc>
      </w:tr>
      <w:tr w14:paraId="3F92B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26211">
            <w:pPr>
              <w:jc w:val="center"/>
              <w:rPr>
                <w:rFonts w:hint="eastAsia" w:ascii="宋体" w:hAnsi="宋体" w:eastAsia="宋体" w:cs="宋体"/>
                <w:i w:val="0"/>
                <w:iCs w:val="0"/>
                <w:color w:val="000000"/>
                <w:sz w:val="20"/>
                <w:szCs w:val="20"/>
                <w:u w:val="none"/>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F87A6">
            <w:pPr>
              <w:jc w:val="center"/>
              <w:rPr>
                <w:rFonts w:hint="eastAsia" w:ascii="宋体" w:hAnsi="宋体" w:eastAsia="宋体" w:cs="宋体"/>
                <w:i w:val="0"/>
                <w:iCs w:val="0"/>
                <w:color w:val="000000"/>
                <w:sz w:val="20"/>
                <w:szCs w:val="20"/>
                <w:u w:val="none"/>
              </w:rPr>
            </w:pP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EE2FC">
            <w:pPr>
              <w:jc w:val="center"/>
              <w:rPr>
                <w:rFonts w:hint="eastAsia" w:ascii="宋体" w:hAnsi="宋体" w:eastAsia="宋体" w:cs="宋体"/>
                <w:i w:val="0"/>
                <w:iCs w:val="0"/>
                <w:color w:val="000000"/>
                <w:sz w:val="20"/>
                <w:szCs w:val="20"/>
                <w:u w:val="none"/>
              </w:rPr>
            </w:pPr>
          </w:p>
        </w:tc>
        <w:tc>
          <w:tcPr>
            <w:tcW w:w="23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C85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聘请第三方机构服务出错率</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721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&lt;=3次/年</w:t>
            </w:r>
          </w:p>
        </w:tc>
        <w:tc>
          <w:tcPr>
            <w:tcW w:w="1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22C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=3次/年</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D797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8DBD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E7A206">
            <w:pPr>
              <w:jc w:val="center"/>
              <w:rPr>
                <w:rFonts w:hint="eastAsia" w:ascii="宋体" w:hAnsi="宋体" w:eastAsia="宋体" w:cs="宋体"/>
                <w:i w:val="0"/>
                <w:iCs w:val="0"/>
                <w:color w:val="000000"/>
                <w:sz w:val="20"/>
                <w:szCs w:val="20"/>
                <w:u w:val="none"/>
              </w:rPr>
            </w:pPr>
          </w:p>
        </w:tc>
      </w:tr>
      <w:tr w14:paraId="29E39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9CDF2">
            <w:pPr>
              <w:jc w:val="center"/>
              <w:rPr>
                <w:rFonts w:hint="eastAsia" w:ascii="宋体" w:hAnsi="宋体" w:eastAsia="宋体" w:cs="宋体"/>
                <w:i w:val="0"/>
                <w:iCs w:val="0"/>
                <w:color w:val="000000"/>
                <w:sz w:val="20"/>
                <w:szCs w:val="20"/>
                <w:u w:val="none"/>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D59D8">
            <w:pPr>
              <w:jc w:val="center"/>
              <w:rPr>
                <w:rFonts w:hint="eastAsia" w:ascii="宋体" w:hAnsi="宋体" w:eastAsia="宋体" w:cs="宋体"/>
                <w:i w:val="0"/>
                <w:iCs w:val="0"/>
                <w:color w:val="000000"/>
                <w:sz w:val="20"/>
                <w:szCs w:val="20"/>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E1E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23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7F2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测绘图纸出图及时率</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E7A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244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408B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D78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639E02">
            <w:pPr>
              <w:jc w:val="center"/>
              <w:rPr>
                <w:rFonts w:hint="eastAsia" w:ascii="宋体" w:hAnsi="宋体" w:eastAsia="宋体" w:cs="宋体"/>
                <w:i w:val="0"/>
                <w:iCs w:val="0"/>
                <w:color w:val="000000"/>
                <w:sz w:val="20"/>
                <w:szCs w:val="20"/>
                <w:u w:val="none"/>
              </w:rPr>
            </w:pPr>
          </w:p>
        </w:tc>
      </w:tr>
      <w:tr w14:paraId="7C942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25892">
            <w:pPr>
              <w:jc w:val="center"/>
              <w:rPr>
                <w:rFonts w:hint="eastAsia" w:ascii="宋体" w:hAnsi="宋体" w:eastAsia="宋体" w:cs="宋体"/>
                <w:i w:val="0"/>
                <w:iCs w:val="0"/>
                <w:color w:val="000000"/>
                <w:sz w:val="20"/>
                <w:szCs w:val="20"/>
                <w:u w:val="none"/>
              </w:rPr>
            </w:pPr>
          </w:p>
        </w:tc>
        <w:tc>
          <w:tcPr>
            <w:tcW w:w="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FCB6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13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7640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23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44D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弥补公用经费成本</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A1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&lt;=1万元</w:t>
            </w:r>
          </w:p>
        </w:tc>
        <w:tc>
          <w:tcPr>
            <w:tcW w:w="1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3F6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=1万元</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5B72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75B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5DEBDF">
            <w:pPr>
              <w:jc w:val="center"/>
              <w:rPr>
                <w:rFonts w:hint="eastAsia" w:ascii="宋体" w:hAnsi="宋体" w:eastAsia="宋体" w:cs="宋体"/>
                <w:i w:val="0"/>
                <w:iCs w:val="0"/>
                <w:color w:val="000000"/>
                <w:sz w:val="20"/>
                <w:szCs w:val="20"/>
                <w:u w:val="none"/>
              </w:rPr>
            </w:pPr>
          </w:p>
        </w:tc>
      </w:tr>
      <w:tr w14:paraId="79FB9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885A9">
            <w:pPr>
              <w:jc w:val="center"/>
              <w:rPr>
                <w:rFonts w:hint="eastAsia" w:ascii="宋体" w:hAnsi="宋体" w:eastAsia="宋体" w:cs="宋体"/>
                <w:i w:val="0"/>
                <w:iCs w:val="0"/>
                <w:color w:val="000000"/>
                <w:sz w:val="20"/>
                <w:szCs w:val="20"/>
                <w:u w:val="none"/>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DCD2D">
            <w:pPr>
              <w:jc w:val="center"/>
              <w:rPr>
                <w:rFonts w:hint="eastAsia" w:ascii="宋体" w:hAnsi="宋体" w:eastAsia="宋体" w:cs="宋体"/>
                <w:i w:val="0"/>
                <w:iCs w:val="0"/>
                <w:color w:val="000000"/>
                <w:sz w:val="20"/>
                <w:szCs w:val="20"/>
                <w:u w:val="none"/>
              </w:rPr>
            </w:pP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C4827">
            <w:pPr>
              <w:jc w:val="center"/>
              <w:rPr>
                <w:rFonts w:hint="eastAsia" w:ascii="宋体" w:hAnsi="宋体" w:eastAsia="宋体" w:cs="宋体"/>
                <w:i w:val="0"/>
                <w:iCs w:val="0"/>
                <w:color w:val="000000"/>
                <w:sz w:val="20"/>
                <w:szCs w:val="20"/>
                <w:u w:val="none"/>
              </w:rPr>
            </w:pPr>
          </w:p>
        </w:tc>
        <w:tc>
          <w:tcPr>
            <w:tcW w:w="23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AE7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聘请第三方服务机构成本</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3AE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&lt;=2万元</w:t>
            </w:r>
          </w:p>
        </w:tc>
        <w:tc>
          <w:tcPr>
            <w:tcW w:w="1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D56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=2万元</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6BD2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9DFC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446C68">
            <w:pPr>
              <w:jc w:val="center"/>
              <w:rPr>
                <w:rFonts w:hint="eastAsia" w:ascii="宋体" w:hAnsi="宋体" w:eastAsia="宋体" w:cs="宋体"/>
                <w:i w:val="0"/>
                <w:iCs w:val="0"/>
                <w:color w:val="000000"/>
                <w:sz w:val="20"/>
                <w:szCs w:val="20"/>
                <w:u w:val="none"/>
              </w:rPr>
            </w:pPr>
          </w:p>
        </w:tc>
      </w:tr>
      <w:tr w14:paraId="7C610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A8E63">
            <w:pPr>
              <w:jc w:val="center"/>
              <w:rPr>
                <w:rFonts w:hint="eastAsia" w:ascii="宋体" w:hAnsi="宋体" w:eastAsia="宋体" w:cs="宋体"/>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496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551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23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7BB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征收工作依法依规进行</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A63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效果显著</w:t>
            </w:r>
          </w:p>
        </w:tc>
        <w:tc>
          <w:tcPr>
            <w:tcW w:w="1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FA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效果显著</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A20A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E319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008A34">
            <w:pPr>
              <w:jc w:val="center"/>
              <w:rPr>
                <w:rFonts w:hint="eastAsia" w:ascii="宋体" w:hAnsi="宋体" w:eastAsia="宋体" w:cs="宋体"/>
                <w:i w:val="0"/>
                <w:iCs w:val="0"/>
                <w:color w:val="000000"/>
                <w:sz w:val="20"/>
                <w:szCs w:val="20"/>
                <w:u w:val="none"/>
              </w:rPr>
            </w:pPr>
          </w:p>
        </w:tc>
      </w:tr>
      <w:tr w14:paraId="60EEB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2"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C4F91">
            <w:pPr>
              <w:jc w:val="center"/>
              <w:rPr>
                <w:rFonts w:hint="eastAsia" w:ascii="宋体" w:hAnsi="宋体" w:eastAsia="宋体" w:cs="宋体"/>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B19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693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23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94B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工作人员的满意度</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890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1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A77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14F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00BE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868039">
            <w:pPr>
              <w:jc w:val="center"/>
              <w:rPr>
                <w:rFonts w:hint="eastAsia" w:ascii="宋体" w:hAnsi="宋体" w:eastAsia="宋体" w:cs="宋体"/>
                <w:i w:val="0"/>
                <w:iCs w:val="0"/>
                <w:color w:val="000000"/>
                <w:sz w:val="20"/>
                <w:szCs w:val="20"/>
                <w:u w:val="none"/>
              </w:rPr>
            </w:pPr>
          </w:p>
        </w:tc>
      </w:tr>
      <w:tr w14:paraId="11247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79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7595A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C1C8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4609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99.53分</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56723C">
            <w:pPr>
              <w:jc w:val="center"/>
              <w:rPr>
                <w:rFonts w:hint="eastAsia" w:ascii="宋体" w:hAnsi="宋体" w:eastAsia="宋体" w:cs="宋体"/>
                <w:i w:val="0"/>
                <w:iCs w:val="0"/>
                <w:color w:val="000000"/>
                <w:sz w:val="20"/>
                <w:szCs w:val="20"/>
                <w:u w:val="none"/>
              </w:rPr>
            </w:pPr>
          </w:p>
        </w:tc>
      </w:tr>
    </w:tbl>
    <w:p w14:paraId="3F011BFC">
      <w:pPr>
        <w:pStyle w:val="2"/>
        <w:rPr>
          <w:rFonts w:hint="eastAsia"/>
        </w:rPr>
      </w:pPr>
    </w:p>
    <w:p w14:paraId="3916AE4F">
      <w:pPr>
        <w:rPr>
          <w:rFonts w:hint="eastAsia"/>
        </w:rPr>
      </w:pPr>
    </w:p>
    <w:p w14:paraId="0CF91BB9">
      <w:pPr>
        <w:pStyle w:val="2"/>
        <w:rPr>
          <w:rFonts w:hint="eastAsia"/>
        </w:rPr>
      </w:pPr>
    </w:p>
    <w:p w14:paraId="59F8E412">
      <w:pPr>
        <w:rPr>
          <w:rFonts w:hint="eastAsia"/>
        </w:rPr>
      </w:pPr>
    </w:p>
    <w:p w14:paraId="2DD3BF95">
      <w:pPr>
        <w:pStyle w:val="2"/>
        <w:rPr>
          <w:rFonts w:hint="eastAsia"/>
        </w:rPr>
      </w:pPr>
    </w:p>
    <w:p w14:paraId="4E9C3955">
      <w:pPr>
        <w:rPr>
          <w:rFonts w:hint="eastAsia"/>
        </w:rPr>
      </w:pPr>
    </w:p>
    <w:p w14:paraId="67ED6713">
      <w:pPr>
        <w:pStyle w:val="2"/>
        <w:rPr>
          <w:rFonts w:hint="eastAsia"/>
        </w:rPr>
      </w:pPr>
    </w:p>
    <w:p w14:paraId="22E54286">
      <w:pPr>
        <w:rPr>
          <w:rFonts w:hint="eastAsia"/>
        </w:rPr>
      </w:pPr>
    </w:p>
    <w:p w14:paraId="12175560">
      <w:pPr>
        <w:pStyle w:val="2"/>
        <w:rPr>
          <w:rFonts w:hint="eastAsia"/>
        </w:rPr>
      </w:pPr>
    </w:p>
    <w:p w14:paraId="0DFFE97B">
      <w:pPr>
        <w:rPr>
          <w:rFonts w:hint="eastAsia"/>
        </w:rPr>
      </w:pPr>
    </w:p>
    <w:p w14:paraId="6954CF3C">
      <w:pPr>
        <w:pStyle w:val="2"/>
        <w:rPr>
          <w:rFonts w:hint="eastAsia"/>
        </w:rPr>
      </w:pPr>
    </w:p>
    <w:p w14:paraId="0C7FBA89">
      <w:pPr>
        <w:rPr>
          <w:rFonts w:hint="eastAsia"/>
        </w:rPr>
      </w:pPr>
    </w:p>
    <w:p w14:paraId="310C92F7">
      <w:pPr>
        <w:pStyle w:val="2"/>
        <w:rPr>
          <w:rFonts w:hint="eastAsia"/>
        </w:rPr>
      </w:pPr>
    </w:p>
    <w:p w14:paraId="0600E6F9">
      <w:pPr>
        <w:rPr>
          <w:rFonts w:hint="eastAsia"/>
        </w:rPr>
      </w:pPr>
    </w:p>
    <w:p w14:paraId="72BCDEB3">
      <w:pPr>
        <w:pStyle w:val="2"/>
        <w:rPr>
          <w:rFonts w:hint="eastAsia"/>
        </w:rPr>
      </w:pPr>
    </w:p>
    <w:p w14:paraId="4BDF90DA">
      <w:pPr>
        <w:rPr>
          <w:rFonts w:hint="eastAsia"/>
        </w:rPr>
      </w:pPr>
    </w:p>
    <w:p w14:paraId="2264BE8A">
      <w:pPr>
        <w:pStyle w:val="2"/>
        <w:rPr>
          <w:rFonts w:hint="eastAsia"/>
        </w:rPr>
      </w:pPr>
    </w:p>
    <w:p w14:paraId="7671CC35">
      <w:pPr>
        <w:rPr>
          <w:rFonts w:hint="eastAsia"/>
        </w:rPr>
      </w:pPr>
    </w:p>
    <w:p w14:paraId="57A01A56">
      <w:pPr>
        <w:pStyle w:val="2"/>
        <w:rPr>
          <w:rFonts w:hint="eastAsia"/>
        </w:rPr>
      </w:pPr>
    </w:p>
    <w:p w14:paraId="7A910FDB">
      <w:pPr>
        <w:rPr>
          <w:rFonts w:hint="eastAsia"/>
        </w:rPr>
      </w:pPr>
    </w:p>
    <w:p w14:paraId="47E1FA08">
      <w:pPr>
        <w:pStyle w:val="2"/>
        <w:rPr>
          <w:rFonts w:hint="eastAsia"/>
        </w:rPr>
      </w:pPr>
    </w:p>
    <w:p w14:paraId="439E67C6">
      <w:pPr>
        <w:rPr>
          <w:rFonts w:hint="eastAsia"/>
        </w:rPr>
      </w:pPr>
    </w:p>
    <w:p w14:paraId="4C7EABAD">
      <w:pPr>
        <w:rPr>
          <w:rFonts w:hint="eastAsia"/>
        </w:rPr>
      </w:pPr>
    </w:p>
    <w:tbl>
      <w:tblPr>
        <w:tblStyle w:val="9"/>
        <w:tblW w:w="11000" w:type="dxa"/>
        <w:tblInd w:w="-120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46"/>
        <w:gridCol w:w="708"/>
        <w:gridCol w:w="910"/>
        <w:gridCol w:w="1373"/>
        <w:gridCol w:w="1256"/>
        <w:gridCol w:w="1986"/>
        <w:gridCol w:w="1038"/>
        <w:gridCol w:w="269"/>
        <w:gridCol w:w="251"/>
        <w:gridCol w:w="339"/>
        <w:gridCol w:w="477"/>
        <w:gridCol w:w="526"/>
        <w:gridCol w:w="721"/>
      </w:tblGrid>
      <w:tr w14:paraId="5E644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11000" w:type="dxa"/>
            <w:gridSpan w:val="13"/>
            <w:tcBorders>
              <w:top w:val="nil"/>
              <w:left w:val="nil"/>
              <w:bottom w:val="nil"/>
              <w:right w:val="nil"/>
            </w:tcBorders>
            <w:shd w:val="clear" w:color="auto" w:fill="auto"/>
            <w:vAlign w:val="center"/>
          </w:tcPr>
          <w:p w14:paraId="3DC1144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1223B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1000" w:type="dxa"/>
            <w:gridSpan w:val="13"/>
            <w:tcBorders>
              <w:top w:val="nil"/>
              <w:left w:val="nil"/>
              <w:bottom w:val="nil"/>
              <w:right w:val="nil"/>
            </w:tcBorders>
            <w:shd w:val="clear" w:color="auto" w:fill="auto"/>
            <w:vAlign w:val="center"/>
          </w:tcPr>
          <w:p w14:paraId="216393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0AE95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8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BDE9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914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75DEF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土地储备项目</w:t>
            </w:r>
          </w:p>
        </w:tc>
      </w:tr>
      <w:tr w14:paraId="14529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8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53AE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5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C9F8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乌鲁木齐经济技术开发区（乌鲁木齐市头屯河区）房屋征收与补偿管理办公室（土地征收管理办公室）</w:t>
            </w:r>
          </w:p>
        </w:tc>
        <w:tc>
          <w:tcPr>
            <w:tcW w:w="1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F47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36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9FE7B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乌鲁木齐经济技术开发区（乌鲁木齐市头屯河区）房屋征收与补偿管理办公室（土地征收管理办公室）</w:t>
            </w:r>
          </w:p>
        </w:tc>
      </w:tr>
      <w:tr w14:paraId="069F4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85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DE92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2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8C0D63">
            <w:pPr>
              <w:jc w:val="center"/>
              <w:rPr>
                <w:rFonts w:hint="eastAsia" w:ascii="宋体" w:hAnsi="宋体" w:eastAsia="宋体" w:cs="宋体"/>
                <w:i w:val="0"/>
                <w:iCs w:val="0"/>
                <w:color w:val="000000"/>
                <w:sz w:val="20"/>
                <w:szCs w:val="20"/>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218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F88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CFA6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98A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10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B31B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BEC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2A3D3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8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372BA">
            <w:pPr>
              <w:jc w:val="center"/>
              <w:rPr>
                <w:rFonts w:hint="eastAsia" w:ascii="宋体" w:hAnsi="宋体" w:eastAsia="宋体" w:cs="宋体"/>
                <w:i w:val="0"/>
                <w:iCs w:val="0"/>
                <w:color w:val="000000"/>
                <w:sz w:val="20"/>
                <w:szCs w:val="20"/>
                <w:u w:val="none"/>
              </w:rPr>
            </w:pPr>
          </w:p>
        </w:tc>
        <w:tc>
          <w:tcPr>
            <w:tcW w:w="2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89D2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1CA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2626.85</w:t>
            </w:r>
          </w:p>
        </w:tc>
        <w:tc>
          <w:tcPr>
            <w:tcW w:w="1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498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2626.85</w:t>
            </w: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ABA3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2626.85</w:t>
            </w: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F667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57EC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F99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10.00分</w:t>
            </w:r>
          </w:p>
        </w:tc>
      </w:tr>
      <w:tr w14:paraId="5A952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8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43271">
            <w:pPr>
              <w:jc w:val="center"/>
              <w:rPr>
                <w:rFonts w:hint="eastAsia" w:ascii="宋体" w:hAnsi="宋体" w:eastAsia="宋体" w:cs="宋体"/>
                <w:i w:val="0"/>
                <w:iCs w:val="0"/>
                <w:color w:val="000000"/>
                <w:sz w:val="20"/>
                <w:szCs w:val="20"/>
                <w:u w:val="none"/>
              </w:rPr>
            </w:pPr>
          </w:p>
        </w:tc>
        <w:tc>
          <w:tcPr>
            <w:tcW w:w="2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171F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B6C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2626.85</w:t>
            </w:r>
          </w:p>
        </w:tc>
        <w:tc>
          <w:tcPr>
            <w:tcW w:w="1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2F2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2626.85</w:t>
            </w: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3D7C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2626.85</w:t>
            </w: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F491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EEB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8D7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95EF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8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BD342">
            <w:pPr>
              <w:jc w:val="center"/>
              <w:rPr>
                <w:rFonts w:hint="eastAsia" w:ascii="宋体" w:hAnsi="宋体" w:eastAsia="宋体" w:cs="宋体"/>
                <w:i w:val="0"/>
                <w:iCs w:val="0"/>
                <w:color w:val="000000"/>
                <w:sz w:val="20"/>
                <w:szCs w:val="20"/>
                <w:u w:val="none"/>
              </w:rPr>
            </w:pPr>
          </w:p>
        </w:tc>
        <w:tc>
          <w:tcPr>
            <w:tcW w:w="2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91E8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54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0D3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81A0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0704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345B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4C7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115F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81FB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623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FF1C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36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E24E0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5FA0F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5"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9CB04">
            <w:pPr>
              <w:jc w:val="center"/>
              <w:rPr>
                <w:rFonts w:hint="eastAsia" w:ascii="宋体" w:hAnsi="宋体" w:eastAsia="宋体" w:cs="宋体"/>
                <w:i w:val="0"/>
                <w:iCs w:val="0"/>
                <w:color w:val="000000"/>
                <w:sz w:val="20"/>
                <w:szCs w:val="20"/>
                <w:u w:val="none"/>
              </w:rPr>
            </w:pPr>
          </w:p>
        </w:tc>
        <w:tc>
          <w:tcPr>
            <w:tcW w:w="6233"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7B4BA73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市委、区委关于房屋及土地征收工作的相关要求及工作需要，本项目总投资2626.85万元，主要依据《国家税务总局公告》（2019年第30号)文件和《国有土地管理法》相关规定，缴纳耕地占用税和耕地开垦费，通过该项目实施达到推动征迁项目顺利实施，促进相关项目建设进度，提升城乡建设发展。</w:t>
            </w:r>
          </w:p>
        </w:tc>
        <w:tc>
          <w:tcPr>
            <w:tcW w:w="3621"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2F1D95B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截至2024年12月31日，共计支付耕地开垦费92万元、耕地占用税2534.85万元，耕地占补保有量305亩，有效推动了征迁项目顺利实施，促进项目建设进度，提升城乡建设发展</w:t>
            </w:r>
          </w:p>
        </w:tc>
      </w:tr>
      <w:tr w14:paraId="2A82F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C4212F">
            <w:pPr>
              <w:jc w:val="center"/>
              <w:rPr>
                <w:rFonts w:hint="eastAsia" w:ascii="宋体" w:hAnsi="宋体" w:eastAsia="宋体" w:cs="宋体"/>
                <w:i w:val="0"/>
                <w:iCs w:val="0"/>
                <w:color w:val="000000"/>
                <w:sz w:val="20"/>
                <w:szCs w:val="20"/>
                <w:u w:val="none"/>
              </w:rPr>
            </w:pP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4F38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9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42B2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262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69E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EEE1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F725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5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7756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81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A131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24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06D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625BF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2671C">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B161C">
            <w:pPr>
              <w:jc w:val="center"/>
              <w:rPr>
                <w:rFonts w:hint="eastAsia" w:ascii="宋体" w:hAnsi="宋体" w:eastAsia="宋体" w:cs="宋体"/>
                <w:i w:val="0"/>
                <w:iCs w:val="0"/>
                <w:color w:val="000000"/>
                <w:sz w:val="20"/>
                <w:szCs w:val="20"/>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25697">
            <w:pPr>
              <w:jc w:val="center"/>
              <w:rPr>
                <w:rFonts w:hint="eastAsia" w:ascii="宋体" w:hAnsi="宋体" w:eastAsia="宋体" w:cs="宋体"/>
                <w:i w:val="0"/>
                <w:iCs w:val="0"/>
                <w:color w:val="000000"/>
                <w:sz w:val="20"/>
                <w:szCs w:val="20"/>
                <w:u w:val="none"/>
              </w:rPr>
            </w:pPr>
          </w:p>
        </w:tc>
        <w:tc>
          <w:tcPr>
            <w:tcW w:w="262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518C0">
            <w:pPr>
              <w:jc w:val="center"/>
              <w:rPr>
                <w:rFonts w:hint="eastAsia" w:ascii="宋体" w:hAnsi="宋体" w:eastAsia="宋体" w:cs="宋体"/>
                <w:i w:val="0"/>
                <w:iCs w:val="0"/>
                <w:color w:val="000000"/>
                <w:sz w:val="20"/>
                <w:szCs w:val="20"/>
                <w:u w:val="none"/>
              </w:rPr>
            </w:pPr>
          </w:p>
        </w:tc>
        <w:tc>
          <w:tcPr>
            <w:tcW w:w="1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CF469">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8AA5E">
            <w:pPr>
              <w:jc w:val="center"/>
              <w:rPr>
                <w:rFonts w:hint="eastAsia" w:ascii="宋体" w:hAnsi="宋体" w:eastAsia="宋体" w:cs="宋体"/>
                <w:i w:val="0"/>
                <w:iCs w:val="0"/>
                <w:color w:val="000000"/>
                <w:sz w:val="20"/>
                <w:szCs w:val="20"/>
                <w:u w:val="none"/>
              </w:rPr>
            </w:pPr>
          </w:p>
        </w:tc>
        <w:tc>
          <w:tcPr>
            <w:tcW w:w="5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62238">
            <w:pPr>
              <w:jc w:val="center"/>
              <w:rPr>
                <w:rFonts w:hint="eastAsia" w:ascii="宋体" w:hAnsi="宋体" w:eastAsia="宋体" w:cs="宋体"/>
                <w:i w:val="0"/>
                <w:iCs w:val="0"/>
                <w:color w:val="000000"/>
                <w:sz w:val="20"/>
                <w:szCs w:val="20"/>
                <w:u w:val="none"/>
              </w:rPr>
            </w:pPr>
          </w:p>
        </w:tc>
        <w:tc>
          <w:tcPr>
            <w:tcW w:w="81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49EEC">
            <w:pPr>
              <w:jc w:val="center"/>
              <w:rPr>
                <w:rFonts w:hint="eastAsia" w:ascii="宋体" w:hAnsi="宋体" w:eastAsia="宋体" w:cs="宋体"/>
                <w:i w:val="0"/>
                <w:iCs w:val="0"/>
                <w:color w:val="000000"/>
                <w:sz w:val="20"/>
                <w:szCs w:val="20"/>
                <w:u w:val="none"/>
              </w:rPr>
            </w:pPr>
          </w:p>
        </w:tc>
        <w:tc>
          <w:tcPr>
            <w:tcW w:w="124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D4A15">
            <w:pPr>
              <w:jc w:val="center"/>
              <w:rPr>
                <w:rFonts w:hint="eastAsia" w:ascii="宋体" w:hAnsi="宋体" w:eastAsia="宋体" w:cs="宋体"/>
                <w:i w:val="0"/>
                <w:iCs w:val="0"/>
                <w:color w:val="000000"/>
                <w:sz w:val="20"/>
                <w:szCs w:val="20"/>
                <w:u w:val="none"/>
              </w:rPr>
            </w:pPr>
          </w:p>
        </w:tc>
      </w:tr>
      <w:tr w14:paraId="2450F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3" w:hRule="atLeast"/>
        </w:trPr>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DC65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B397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9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95C2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26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D57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耕地占补保有量</w:t>
            </w:r>
          </w:p>
        </w:tc>
        <w:tc>
          <w:tcPr>
            <w:tcW w:w="1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0E8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&gt;=305亩</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063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=305亩</w:t>
            </w: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B0FC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2FD4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2DBA0A">
            <w:pPr>
              <w:jc w:val="center"/>
              <w:rPr>
                <w:rFonts w:hint="eastAsia" w:ascii="宋体" w:hAnsi="宋体" w:eastAsia="宋体" w:cs="宋体"/>
                <w:i w:val="0"/>
                <w:iCs w:val="0"/>
                <w:color w:val="000000"/>
                <w:sz w:val="20"/>
                <w:szCs w:val="20"/>
                <w:u w:val="none"/>
              </w:rPr>
            </w:pPr>
          </w:p>
        </w:tc>
      </w:tr>
      <w:tr w14:paraId="1B9C5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2C725">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C0F07">
            <w:pPr>
              <w:jc w:val="center"/>
              <w:rPr>
                <w:rFonts w:hint="eastAsia" w:ascii="宋体" w:hAnsi="宋体" w:eastAsia="宋体" w:cs="宋体"/>
                <w:i w:val="0"/>
                <w:iCs w:val="0"/>
                <w:color w:val="000000"/>
                <w:sz w:val="20"/>
                <w:szCs w:val="20"/>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23B7D">
            <w:pPr>
              <w:jc w:val="center"/>
              <w:rPr>
                <w:rFonts w:hint="eastAsia" w:ascii="宋体" w:hAnsi="宋体" w:eastAsia="宋体" w:cs="宋体"/>
                <w:i w:val="0"/>
                <w:iCs w:val="0"/>
                <w:color w:val="000000"/>
                <w:sz w:val="20"/>
                <w:szCs w:val="20"/>
                <w:u w:val="none"/>
              </w:rPr>
            </w:pPr>
          </w:p>
        </w:tc>
        <w:tc>
          <w:tcPr>
            <w:tcW w:w="26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E1B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耕地占用税涉税面积</w:t>
            </w:r>
          </w:p>
        </w:tc>
        <w:tc>
          <w:tcPr>
            <w:tcW w:w="1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F89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&gt;=1259301平方米</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521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=1259301平方米</w:t>
            </w: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E5E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85DE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E790D7">
            <w:pPr>
              <w:jc w:val="center"/>
              <w:rPr>
                <w:rFonts w:hint="eastAsia" w:ascii="宋体" w:hAnsi="宋体" w:eastAsia="宋体" w:cs="宋体"/>
                <w:i w:val="0"/>
                <w:iCs w:val="0"/>
                <w:color w:val="000000"/>
                <w:sz w:val="20"/>
                <w:szCs w:val="20"/>
                <w:u w:val="none"/>
              </w:rPr>
            </w:pPr>
          </w:p>
        </w:tc>
      </w:tr>
      <w:tr w14:paraId="1A024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3"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BA834">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0156A">
            <w:pPr>
              <w:jc w:val="center"/>
              <w:rPr>
                <w:rFonts w:hint="eastAsia" w:ascii="宋体" w:hAnsi="宋体" w:eastAsia="宋体" w:cs="宋体"/>
                <w:i w:val="0"/>
                <w:iCs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454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6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653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耕地补贴完成率</w:t>
            </w:r>
          </w:p>
        </w:tc>
        <w:tc>
          <w:tcPr>
            <w:tcW w:w="1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EB2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C9E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AF63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11D4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BC370F">
            <w:pPr>
              <w:jc w:val="center"/>
              <w:rPr>
                <w:rFonts w:hint="eastAsia" w:ascii="宋体" w:hAnsi="宋体" w:eastAsia="宋体" w:cs="宋体"/>
                <w:i w:val="0"/>
                <w:iCs w:val="0"/>
                <w:color w:val="000000"/>
                <w:sz w:val="20"/>
                <w:szCs w:val="20"/>
                <w:u w:val="none"/>
              </w:rPr>
            </w:pPr>
          </w:p>
        </w:tc>
      </w:tr>
      <w:tr w14:paraId="47956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8D65F">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3C2E4">
            <w:pPr>
              <w:jc w:val="center"/>
              <w:rPr>
                <w:rFonts w:hint="eastAsia" w:ascii="宋体" w:hAnsi="宋体" w:eastAsia="宋体" w:cs="宋体"/>
                <w:i w:val="0"/>
                <w:iCs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8DB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26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E27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耕地补贴支付及时率</w:t>
            </w:r>
          </w:p>
        </w:tc>
        <w:tc>
          <w:tcPr>
            <w:tcW w:w="1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8B8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2CE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919F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80A0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A017A0">
            <w:pPr>
              <w:jc w:val="center"/>
              <w:rPr>
                <w:rFonts w:hint="eastAsia" w:ascii="宋体" w:hAnsi="宋体" w:eastAsia="宋体" w:cs="宋体"/>
                <w:i w:val="0"/>
                <w:iCs w:val="0"/>
                <w:color w:val="000000"/>
                <w:sz w:val="20"/>
                <w:szCs w:val="20"/>
                <w:u w:val="none"/>
              </w:rPr>
            </w:pPr>
          </w:p>
        </w:tc>
      </w:tr>
      <w:tr w14:paraId="1C42E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3"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962D9">
            <w:pPr>
              <w:jc w:val="center"/>
              <w:rPr>
                <w:rFonts w:hint="eastAsia" w:ascii="宋体" w:hAnsi="宋体" w:eastAsia="宋体" w:cs="宋体"/>
                <w:i w:val="0"/>
                <w:iCs w:val="0"/>
                <w:color w:val="000000"/>
                <w:sz w:val="20"/>
                <w:szCs w:val="20"/>
                <w:u w:val="none"/>
              </w:rPr>
            </w:pP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628D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9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CB2F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26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074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耕地开垦费成本</w:t>
            </w:r>
          </w:p>
        </w:tc>
        <w:tc>
          <w:tcPr>
            <w:tcW w:w="1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82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&lt;=92万元</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7BE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=92万元</w:t>
            </w: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43B6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3A2D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D58CB1">
            <w:pPr>
              <w:jc w:val="center"/>
              <w:rPr>
                <w:rFonts w:hint="eastAsia" w:ascii="宋体" w:hAnsi="宋体" w:eastAsia="宋体" w:cs="宋体"/>
                <w:i w:val="0"/>
                <w:iCs w:val="0"/>
                <w:color w:val="000000"/>
                <w:sz w:val="20"/>
                <w:szCs w:val="20"/>
                <w:u w:val="none"/>
              </w:rPr>
            </w:pPr>
          </w:p>
        </w:tc>
      </w:tr>
      <w:tr w14:paraId="65F63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71BDA">
            <w:pPr>
              <w:jc w:val="center"/>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FD84B">
            <w:pPr>
              <w:jc w:val="center"/>
              <w:rPr>
                <w:rFonts w:hint="eastAsia" w:ascii="宋体" w:hAnsi="宋体" w:eastAsia="宋体" w:cs="宋体"/>
                <w:i w:val="0"/>
                <w:iCs w:val="0"/>
                <w:color w:val="000000"/>
                <w:sz w:val="20"/>
                <w:szCs w:val="20"/>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98283">
            <w:pPr>
              <w:jc w:val="center"/>
              <w:rPr>
                <w:rFonts w:hint="eastAsia" w:ascii="宋体" w:hAnsi="宋体" w:eastAsia="宋体" w:cs="宋体"/>
                <w:i w:val="0"/>
                <w:iCs w:val="0"/>
                <w:color w:val="000000"/>
                <w:sz w:val="20"/>
                <w:szCs w:val="20"/>
                <w:u w:val="none"/>
              </w:rPr>
            </w:pPr>
          </w:p>
        </w:tc>
        <w:tc>
          <w:tcPr>
            <w:tcW w:w="26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EF5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耕地占用税成本</w:t>
            </w:r>
          </w:p>
        </w:tc>
        <w:tc>
          <w:tcPr>
            <w:tcW w:w="1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33C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&lt;=2534.85万元</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2FA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=2534.85万元</w:t>
            </w: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B767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2887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C44460">
            <w:pPr>
              <w:jc w:val="center"/>
              <w:rPr>
                <w:rFonts w:hint="eastAsia" w:ascii="宋体" w:hAnsi="宋体" w:eastAsia="宋体" w:cs="宋体"/>
                <w:i w:val="0"/>
                <w:iCs w:val="0"/>
                <w:color w:val="000000"/>
                <w:sz w:val="20"/>
                <w:szCs w:val="20"/>
                <w:u w:val="none"/>
              </w:rPr>
            </w:pPr>
          </w:p>
        </w:tc>
      </w:tr>
      <w:tr w14:paraId="7B862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6"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D30EB">
            <w:pPr>
              <w:jc w:val="center"/>
              <w:rPr>
                <w:rFonts w:hint="eastAsia" w:ascii="宋体" w:hAnsi="宋体" w:eastAsia="宋体" w:cs="宋体"/>
                <w:i w:val="0"/>
                <w:iCs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6C8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838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26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517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促进项目建设进度，提升城乡建设发展</w:t>
            </w:r>
          </w:p>
        </w:tc>
        <w:tc>
          <w:tcPr>
            <w:tcW w:w="1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4DC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效果显著</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C42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效果显著</w:t>
            </w: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3641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3571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C601F7">
            <w:pPr>
              <w:jc w:val="center"/>
              <w:rPr>
                <w:rFonts w:hint="eastAsia" w:ascii="宋体" w:hAnsi="宋体" w:eastAsia="宋体" w:cs="宋体"/>
                <w:i w:val="0"/>
                <w:iCs w:val="0"/>
                <w:color w:val="000000"/>
                <w:sz w:val="20"/>
                <w:szCs w:val="20"/>
                <w:u w:val="none"/>
              </w:rPr>
            </w:pPr>
          </w:p>
        </w:tc>
      </w:tr>
      <w:tr w14:paraId="26D6D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4A8C3">
            <w:pPr>
              <w:jc w:val="center"/>
              <w:rPr>
                <w:rFonts w:hint="eastAsia" w:ascii="宋体" w:hAnsi="宋体" w:eastAsia="宋体" w:cs="宋体"/>
                <w:i w:val="0"/>
                <w:iCs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FB4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11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26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EB3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服务群众满意度（%）</w:t>
            </w:r>
          </w:p>
        </w:tc>
        <w:tc>
          <w:tcPr>
            <w:tcW w:w="1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77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47C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3B06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7435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322542">
            <w:pPr>
              <w:jc w:val="center"/>
              <w:rPr>
                <w:rFonts w:hint="eastAsia" w:ascii="宋体" w:hAnsi="宋体" w:eastAsia="宋体" w:cs="宋体"/>
                <w:i w:val="0"/>
                <w:iCs w:val="0"/>
                <w:color w:val="000000"/>
                <w:sz w:val="20"/>
                <w:szCs w:val="20"/>
                <w:u w:val="none"/>
              </w:rPr>
            </w:pPr>
          </w:p>
        </w:tc>
      </w:tr>
      <w:tr w14:paraId="09262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841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696C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FA0F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90FC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100.00分</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FE6A3E">
            <w:pPr>
              <w:jc w:val="center"/>
              <w:rPr>
                <w:rFonts w:hint="eastAsia" w:ascii="宋体" w:hAnsi="宋体" w:eastAsia="宋体" w:cs="宋体"/>
                <w:i w:val="0"/>
                <w:iCs w:val="0"/>
                <w:color w:val="000000"/>
                <w:sz w:val="20"/>
                <w:szCs w:val="20"/>
                <w:u w:val="none"/>
              </w:rPr>
            </w:pPr>
          </w:p>
        </w:tc>
      </w:tr>
    </w:tbl>
    <w:p w14:paraId="7A8268D0">
      <w:pPr>
        <w:pStyle w:val="2"/>
        <w:rPr>
          <w:rFonts w:hint="eastAsia"/>
        </w:rPr>
      </w:pPr>
    </w:p>
    <w:tbl>
      <w:tblPr>
        <w:tblStyle w:val="9"/>
        <w:tblW w:w="11100" w:type="dxa"/>
        <w:tblInd w:w="-120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60"/>
        <w:gridCol w:w="460"/>
        <w:gridCol w:w="654"/>
        <w:gridCol w:w="1334"/>
        <w:gridCol w:w="2082"/>
        <w:gridCol w:w="1159"/>
        <w:gridCol w:w="1074"/>
        <w:gridCol w:w="253"/>
        <w:gridCol w:w="267"/>
        <w:gridCol w:w="300"/>
        <w:gridCol w:w="516"/>
        <w:gridCol w:w="521"/>
        <w:gridCol w:w="720"/>
      </w:tblGrid>
      <w:tr w14:paraId="3CFAC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11100" w:type="dxa"/>
            <w:gridSpan w:val="13"/>
            <w:tcBorders>
              <w:top w:val="nil"/>
              <w:left w:val="nil"/>
              <w:bottom w:val="nil"/>
              <w:right w:val="nil"/>
            </w:tcBorders>
            <w:shd w:val="clear" w:color="auto" w:fill="auto"/>
            <w:vAlign w:val="center"/>
          </w:tcPr>
          <w:p w14:paraId="57AD02F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5298E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11100" w:type="dxa"/>
            <w:gridSpan w:val="13"/>
            <w:tcBorders>
              <w:top w:val="nil"/>
              <w:left w:val="nil"/>
              <w:bottom w:val="nil"/>
              <w:right w:val="nil"/>
            </w:tcBorders>
            <w:shd w:val="clear" w:color="auto" w:fill="auto"/>
            <w:vAlign w:val="center"/>
          </w:tcPr>
          <w:p w14:paraId="738D42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37115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8A8F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888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3CC31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2024年老城政府购买服务费</w:t>
            </w:r>
          </w:p>
        </w:tc>
      </w:tr>
      <w:tr w14:paraId="5AAEF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C146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40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87D7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乌鲁木齐经济技术开发区（乌鲁木齐市头屯河区）房屋征收与补偿管理办公室（土地征收管理办公室）</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642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36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1BB7D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乌鲁木齐经济技术开发区（乌鲁木齐市头屯河区）房屋征收与补偿管理办公室（土地征收管理办公室）</w:t>
            </w:r>
          </w:p>
        </w:tc>
      </w:tr>
      <w:tr w14:paraId="68CC3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22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73CF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19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F4F208">
            <w:pPr>
              <w:jc w:val="center"/>
              <w:rPr>
                <w:rFonts w:hint="eastAsia" w:ascii="宋体" w:hAnsi="宋体" w:eastAsia="宋体" w:cs="宋体"/>
                <w:i w:val="0"/>
                <w:iCs w:val="0"/>
                <w:color w:val="000000"/>
                <w:sz w:val="20"/>
                <w:szCs w:val="20"/>
                <w:u w:val="none"/>
              </w:rPr>
            </w:pPr>
          </w:p>
        </w:tc>
        <w:tc>
          <w:tcPr>
            <w:tcW w:w="2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5F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027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E59E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A582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10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DCC5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4BC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6DC0D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22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CBB5E">
            <w:pPr>
              <w:jc w:val="center"/>
              <w:rPr>
                <w:rFonts w:hint="eastAsia" w:ascii="宋体" w:hAnsi="宋体" w:eastAsia="宋体" w:cs="宋体"/>
                <w:i w:val="0"/>
                <w:iCs w:val="0"/>
                <w:color w:val="000000"/>
                <w:sz w:val="20"/>
                <w:szCs w:val="20"/>
                <w:u w:val="none"/>
              </w:rPr>
            </w:pPr>
          </w:p>
        </w:tc>
        <w:tc>
          <w:tcPr>
            <w:tcW w:w="19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28A4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2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3E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45515.00</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76E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11737.32</w:t>
            </w:r>
          </w:p>
        </w:tc>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C898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11737.32</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AB2F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D1C5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6F9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10.00分</w:t>
            </w:r>
          </w:p>
        </w:tc>
      </w:tr>
      <w:tr w14:paraId="572D5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22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1B9B0">
            <w:pPr>
              <w:jc w:val="center"/>
              <w:rPr>
                <w:rFonts w:hint="eastAsia" w:ascii="宋体" w:hAnsi="宋体" w:eastAsia="宋体" w:cs="宋体"/>
                <w:i w:val="0"/>
                <w:iCs w:val="0"/>
                <w:color w:val="000000"/>
                <w:sz w:val="20"/>
                <w:szCs w:val="20"/>
                <w:u w:val="none"/>
              </w:rPr>
            </w:pPr>
          </w:p>
        </w:tc>
        <w:tc>
          <w:tcPr>
            <w:tcW w:w="19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8FA2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2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122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45515</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074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11737.32</w:t>
            </w:r>
          </w:p>
        </w:tc>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776E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11737.32</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7DEA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176D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34D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1737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22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B8315">
            <w:pPr>
              <w:jc w:val="center"/>
              <w:rPr>
                <w:rFonts w:hint="eastAsia" w:ascii="宋体" w:hAnsi="宋体" w:eastAsia="宋体" w:cs="宋体"/>
                <w:i w:val="0"/>
                <w:iCs w:val="0"/>
                <w:color w:val="000000"/>
                <w:sz w:val="20"/>
                <w:szCs w:val="20"/>
                <w:u w:val="none"/>
              </w:rPr>
            </w:pPr>
          </w:p>
        </w:tc>
        <w:tc>
          <w:tcPr>
            <w:tcW w:w="19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19C2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2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559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3A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8A64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D72B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965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90F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B6BE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1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DBC2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568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0E2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36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9E9C2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3E4CE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8" w:hRule="atLeast"/>
        </w:trPr>
        <w:tc>
          <w:tcPr>
            <w:tcW w:w="1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F738E">
            <w:pPr>
              <w:jc w:val="center"/>
              <w:rPr>
                <w:rFonts w:hint="eastAsia" w:ascii="宋体" w:hAnsi="宋体" w:eastAsia="宋体" w:cs="宋体"/>
                <w:i w:val="0"/>
                <w:iCs w:val="0"/>
                <w:color w:val="000000"/>
                <w:sz w:val="20"/>
                <w:szCs w:val="20"/>
                <w:u w:val="none"/>
              </w:rPr>
            </w:pPr>
          </w:p>
        </w:tc>
        <w:tc>
          <w:tcPr>
            <w:tcW w:w="5689"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5477F44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市委、区委关于房屋及土地征收工作的相关要求及工作需要，本项目总投资11737.32万元，主要用于老城区改造河南庄四队棚户区（城中村）改造一期项目及二期项目、九家湾小五队项目政府购买服务，有利于切实改善各族群众的居住生活环境，夯实社会稳定和长治久安的社会基础，通过该项目实施达到为解决项目实施资金的需求，确保按期完成征收任务。</w:t>
            </w:r>
          </w:p>
        </w:tc>
        <w:tc>
          <w:tcPr>
            <w:tcW w:w="3651"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58CBF91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截至2024年12月31日，项目资金11737.32万元，用于老城区改造河南庄四队棚户区（城中村）改造一期项目及二期项目、九家湾小五队项目政府购买服务，改善了各族群众的居住生活环境，提高了公共服务水平，美化社会环境</w:t>
            </w:r>
          </w:p>
        </w:tc>
      </w:tr>
      <w:tr w14:paraId="10C9E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1EA4F0">
            <w:pPr>
              <w:jc w:val="center"/>
              <w:rPr>
                <w:rFonts w:hint="eastAsia" w:ascii="宋体" w:hAnsi="宋体" w:eastAsia="宋体" w:cs="宋体"/>
                <w:i w:val="0"/>
                <w:iCs w:val="0"/>
                <w:color w:val="000000"/>
                <w:sz w:val="20"/>
                <w:szCs w:val="20"/>
                <w:u w:val="none"/>
              </w:rPr>
            </w:pPr>
          </w:p>
        </w:tc>
        <w:tc>
          <w:tcPr>
            <w:tcW w:w="4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7C31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B793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341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605D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31D3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0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24D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5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936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81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D66C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24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99CC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151A9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5873B">
            <w:pPr>
              <w:jc w:val="center"/>
              <w:rPr>
                <w:rFonts w:hint="eastAsia" w:ascii="宋体" w:hAnsi="宋体" w:eastAsia="宋体" w:cs="宋体"/>
                <w:i w:val="0"/>
                <w:iCs w:val="0"/>
                <w:color w:val="000000"/>
                <w:sz w:val="20"/>
                <w:szCs w:val="20"/>
                <w:u w:val="none"/>
              </w:rPr>
            </w:pPr>
          </w:p>
        </w:tc>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9B936">
            <w:pPr>
              <w:jc w:val="center"/>
              <w:rPr>
                <w:rFonts w:hint="eastAsia" w:ascii="宋体" w:hAnsi="宋体" w:eastAsia="宋体" w:cs="宋体"/>
                <w:i w:val="0"/>
                <w:iCs w:val="0"/>
                <w:color w:val="000000"/>
                <w:sz w:val="20"/>
                <w:szCs w:val="20"/>
                <w:u w:val="none"/>
              </w:rPr>
            </w:pP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D4EED">
            <w:pPr>
              <w:jc w:val="center"/>
              <w:rPr>
                <w:rFonts w:hint="eastAsia" w:ascii="宋体" w:hAnsi="宋体" w:eastAsia="宋体" w:cs="宋体"/>
                <w:i w:val="0"/>
                <w:iCs w:val="0"/>
                <w:color w:val="000000"/>
                <w:sz w:val="20"/>
                <w:szCs w:val="20"/>
                <w:u w:val="none"/>
              </w:rPr>
            </w:pPr>
          </w:p>
        </w:tc>
        <w:tc>
          <w:tcPr>
            <w:tcW w:w="341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AB8FF">
            <w:pPr>
              <w:jc w:val="center"/>
              <w:rPr>
                <w:rFonts w:hint="eastAsia" w:ascii="宋体" w:hAnsi="宋体" w:eastAsia="宋体" w:cs="宋体"/>
                <w:i w:val="0"/>
                <w:iCs w:val="0"/>
                <w:color w:val="000000"/>
                <w:sz w:val="20"/>
                <w:szCs w:val="20"/>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EABF0">
            <w:pPr>
              <w:jc w:val="center"/>
              <w:rPr>
                <w:rFonts w:hint="eastAsia" w:ascii="宋体" w:hAnsi="宋体" w:eastAsia="宋体" w:cs="宋体"/>
                <w:i w:val="0"/>
                <w:iCs w:val="0"/>
                <w:color w:val="000000"/>
                <w:sz w:val="20"/>
                <w:szCs w:val="20"/>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DC549">
            <w:pPr>
              <w:jc w:val="center"/>
              <w:rPr>
                <w:rFonts w:hint="eastAsia" w:ascii="宋体" w:hAnsi="宋体" w:eastAsia="宋体" w:cs="宋体"/>
                <w:i w:val="0"/>
                <w:iCs w:val="0"/>
                <w:color w:val="000000"/>
                <w:sz w:val="20"/>
                <w:szCs w:val="20"/>
                <w:u w:val="none"/>
              </w:rPr>
            </w:pPr>
          </w:p>
        </w:tc>
        <w:tc>
          <w:tcPr>
            <w:tcW w:w="5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10710">
            <w:pPr>
              <w:jc w:val="center"/>
              <w:rPr>
                <w:rFonts w:hint="eastAsia" w:ascii="宋体" w:hAnsi="宋体" w:eastAsia="宋体" w:cs="宋体"/>
                <w:i w:val="0"/>
                <w:iCs w:val="0"/>
                <w:color w:val="000000"/>
                <w:sz w:val="20"/>
                <w:szCs w:val="20"/>
                <w:u w:val="none"/>
              </w:rPr>
            </w:pPr>
          </w:p>
        </w:tc>
        <w:tc>
          <w:tcPr>
            <w:tcW w:w="81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DF3FB">
            <w:pPr>
              <w:jc w:val="center"/>
              <w:rPr>
                <w:rFonts w:hint="eastAsia" w:ascii="宋体" w:hAnsi="宋体" w:eastAsia="宋体" w:cs="宋体"/>
                <w:i w:val="0"/>
                <w:iCs w:val="0"/>
                <w:color w:val="000000"/>
                <w:sz w:val="20"/>
                <w:szCs w:val="20"/>
                <w:u w:val="none"/>
              </w:rPr>
            </w:pPr>
          </w:p>
        </w:tc>
        <w:tc>
          <w:tcPr>
            <w:tcW w:w="12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8E7C6">
            <w:pPr>
              <w:jc w:val="center"/>
              <w:rPr>
                <w:rFonts w:hint="eastAsia" w:ascii="宋体" w:hAnsi="宋体" w:eastAsia="宋体" w:cs="宋体"/>
                <w:i w:val="0"/>
                <w:iCs w:val="0"/>
                <w:color w:val="000000"/>
                <w:sz w:val="20"/>
                <w:szCs w:val="20"/>
                <w:u w:val="none"/>
              </w:rPr>
            </w:pPr>
          </w:p>
        </w:tc>
      </w:tr>
      <w:tr w14:paraId="15C90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6632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4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E628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AD7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34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7E3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政府购买服务协议数量</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977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&gt;=3个</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85F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=3个</w:t>
            </w: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E648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1205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19A63F">
            <w:pPr>
              <w:jc w:val="center"/>
              <w:rPr>
                <w:rFonts w:hint="eastAsia" w:ascii="宋体" w:hAnsi="宋体" w:eastAsia="宋体" w:cs="宋体"/>
                <w:i w:val="0"/>
                <w:iCs w:val="0"/>
                <w:color w:val="000000"/>
                <w:sz w:val="20"/>
                <w:szCs w:val="20"/>
                <w:u w:val="none"/>
              </w:rPr>
            </w:pPr>
          </w:p>
        </w:tc>
      </w:tr>
      <w:tr w14:paraId="4F9D3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1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A620C">
            <w:pPr>
              <w:jc w:val="center"/>
              <w:rPr>
                <w:rFonts w:hint="eastAsia" w:ascii="宋体" w:hAnsi="宋体" w:eastAsia="宋体" w:cs="宋体"/>
                <w:i w:val="0"/>
                <w:iCs w:val="0"/>
                <w:color w:val="000000"/>
                <w:sz w:val="20"/>
                <w:szCs w:val="20"/>
                <w:u w:val="none"/>
              </w:rPr>
            </w:pPr>
          </w:p>
        </w:tc>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8E32F">
            <w:pPr>
              <w:jc w:val="center"/>
              <w:rPr>
                <w:rFonts w:hint="eastAsia" w:ascii="宋体" w:hAnsi="宋体" w:eastAsia="宋体" w:cs="宋体"/>
                <w:i w:val="0"/>
                <w:iCs w:val="0"/>
                <w:color w:val="000000"/>
                <w:sz w:val="20"/>
                <w:szCs w:val="20"/>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3DF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34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6B9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服务质量达标率</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5E8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89B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B761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40C1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2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EC6426">
            <w:pPr>
              <w:jc w:val="center"/>
              <w:rPr>
                <w:rFonts w:hint="eastAsia" w:ascii="宋体" w:hAnsi="宋体" w:eastAsia="宋体" w:cs="宋体"/>
                <w:i w:val="0"/>
                <w:iCs w:val="0"/>
                <w:color w:val="000000"/>
                <w:sz w:val="20"/>
                <w:szCs w:val="20"/>
                <w:u w:val="none"/>
              </w:rPr>
            </w:pPr>
          </w:p>
        </w:tc>
      </w:tr>
      <w:tr w14:paraId="0B92C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8FA7F">
            <w:pPr>
              <w:jc w:val="center"/>
              <w:rPr>
                <w:rFonts w:hint="eastAsia" w:ascii="宋体" w:hAnsi="宋体" w:eastAsia="宋体" w:cs="宋体"/>
                <w:i w:val="0"/>
                <w:iCs w:val="0"/>
                <w:color w:val="000000"/>
                <w:sz w:val="20"/>
                <w:szCs w:val="20"/>
                <w:u w:val="none"/>
              </w:rPr>
            </w:pPr>
          </w:p>
        </w:tc>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BB2CE">
            <w:pPr>
              <w:jc w:val="center"/>
              <w:rPr>
                <w:rFonts w:hint="eastAsia" w:ascii="宋体" w:hAnsi="宋体" w:eastAsia="宋体" w:cs="宋体"/>
                <w:i w:val="0"/>
                <w:iCs w:val="0"/>
                <w:color w:val="000000"/>
                <w:sz w:val="20"/>
                <w:szCs w:val="20"/>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B61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34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92C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政府购买服务费本年费用完成及时率</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9C4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9AE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E954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F3EF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2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FC0808">
            <w:pPr>
              <w:jc w:val="center"/>
              <w:rPr>
                <w:rFonts w:hint="eastAsia" w:ascii="宋体" w:hAnsi="宋体" w:eastAsia="宋体" w:cs="宋体"/>
                <w:i w:val="0"/>
                <w:iCs w:val="0"/>
                <w:color w:val="000000"/>
                <w:sz w:val="20"/>
                <w:szCs w:val="20"/>
                <w:u w:val="none"/>
              </w:rPr>
            </w:pPr>
          </w:p>
        </w:tc>
      </w:tr>
      <w:tr w14:paraId="44F0E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1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1E244">
            <w:pPr>
              <w:jc w:val="center"/>
              <w:rPr>
                <w:rFonts w:hint="eastAsia" w:ascii="宋体" w:hAnsi="宋体" w:eastAsia="宋体" w:cs="宋体"/>
                <w:i w:val="0"/>
                <w:iCs w:val="0"/>
                <w:color w:val="000000"/>
                <w:sz w:val="20"/>
                <w:szCs w:val="20"/>
                <w:u w:val="none"/>
              </w:rPr>
            </w:pPr>
          </w:p>
        </w:tc>
        <w:tc>
          <w:tcPr>
            <w:tcW w:w="4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5BFF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FD6A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34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DCA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河南庄四队棚改一期项目经费成本</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C8C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&lt;=8919.25万元</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B1F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=8919.25万元</w:t>
            </w: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822B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A36D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D1BBE5">
            <w:pPr>
              <w:jc w:val="center"/>
              <w:rPr>
                <w:rFonts w:hint="eastAsia" w:ascii="宋体" w:hAnsi="宋体" w:eastAsia="宋体" w:cs="宋体"/>
                <w:i w:val="0"/>
                <w:iCs w:val="0"/>
                <w:color w:val="000000"/>
                <w:sz w:val="20"/>
                <w:szCs w:val="20"/>
                <w:u w:val="none"/>
              </w:rPr>
            </w:pPr>
          </w:p>
        </w:tc>
      </w:tr>
      <w:tr w14:paraId="0C0AC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A85A1">
            <w:pPr>
              <w:jc w:val="center"/>
              <w:rPr>
                <w:rFonts w:hint="eastAsia" w:ascii="宋体" w:hAnsi="宋体" w:eastAsia="宋体" w:cs="宋体"/>
                <w:i w:val="0"/>
                <w:iCs w:val="0"/>
                <w:color w:val="000000"/>
                <w:sz w:val="20"/>
                <w:szCs w:val="20"/>
                <w:u w:val="none"/>
              </w:rPr>
            </w:pPr>
          </w:p>
        </w:tc>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CD3B4">
            <w:pPr>
              <w:jc w:val="center"/>
              <w:rPr>
                <w:rFonts w:hint="eastAsia" w:ascii="宋体" w:hAnsi="宋体" w:eastAsia="宋体" w:cs="宋体"/>
                <w:i w:val="0"/>
                <w:iCs w:val="0"/>
                <w:color w:val="000000"/>
                <w:sz w:val="20"/>
                <w:szCs w:val="20"/>
                <w:u w:val="none"/>
              </w:rPr>
            </w:pP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A129B">
            <w:pPr>
              <w:jc w:val="center"/>
              <w:rPr>
                <w:rFonts w:hint="eastAsia" w:ascii="宋体" w:hAnsi="宋体" w:eastAsia="宋体" w:cs="宋体"/>
                <w:i w:val="0"/>
                <w:iCs w:val="0"/>
                <w:color w:val="000000"/>
                <w:sz w:val="20"/>
                <w:szCs w:val="20"/>
                <w:u w:val="none"/>
              </w:rPr>
            </w:pPr>
          </w:p>
        </w:tc>
        <w:tc>
          <w:tcPr>
            <w:tcW w:w="34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0FB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河南庄四队棚改二期项目经费成本</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93B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=999.35万元</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EDC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=999.35万元</w:t>
            </w: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2C1B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68D6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8F2AAC">
            <w:pPr>
              <w:jc w:val="center"/>
              <w:rPr>
                <w:rFonts w:hint="eastAsia" w:ascii="宋体" w:hAnsi="宋体" w:eastAsia="宋体" w:cs="宋体"/>
                <w:i w:val="0"/>
                <w:iCs w:val="0"/>
                <w:color w:val="000000"/>
                <w:sz w:val="20"/>
                <w:szCs w:val="20"/>
                <w:u w:val="none"/>
              </w:rPr>
            </w:pPr>
          </w:p>
        </w:tc>
      </w:tr>
      <w:tr w14:paraId="049B9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1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1F014">
            <w:pPr>
              <w:jc w:val="center"/>
              <w:rPr>
                <w:rFonts w:hint="eastAsia" w:ascii="宋体" w:hAnsi="宋体" w:eastAsia="宋体" w:cs="宋体"/>
                <w:i w:val="0"/>
                <w:iCs w:val="0"/>
                <w:color w:val="000000"/>
                <w:sz w:val="20"/>
                <w:szCs w:val="20"/>
                <w:u w:val="none"/>
              </w:rPr>
            </w:pPr>
          </w:p>
        </w:tc>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54EDE">
            <w:pPr>
              <w:jc w:val="center"/>
              <w:rPr>
                <w:rFonts w:hint="eastAsia" w:ascii="宋体" w:hAnsi="宋体" w:eastAsia="宋体" w:cs="宋体"/>
                <w:i w:val="0"/>
                <w:iCs w:val="0"/>
                <w:color w:val="000000"/>
                <w:sz w:val="20"/>
                <w:szCs w:val="20"/>
                <w:u w:val="none"/>
              </w:rPr>
            </w:pP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14C7F">
            <w:pPr>
              <w:jc w:val="center"/>
              <w:rPr>
                <w:rFonts w:hint="eastAsia" w:ascii="宋体" w:hAnsi="宋体" w:eastAsia="宋体" w:cs="宋体"/>
                <w:i w:val="0"/>
                <w:iCs w:val="0"/>
                <w:color w:val="000000"/>
                <w:sz w:val="20"/>
                <w:szCs w:val="20"/>
                <w:u w:val="none"/>
              </w:rPr>
            </w:pPr>
          </w:p>
        </w:tc>
        <w:tc>
          <w:tcPr>
            <w:tcW w:w="34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722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九家湾小五队棚改项目经费成本</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ADA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&lt;=1818.72万元</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1E4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=1818.72万元</w:t>
            </w: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AC5D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FEBB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9D20AE">
            <w:pPr>
              <w:jc w:val="center"/>
              <w:rPr>
                <w:rFonts w:hint="eastAsia" w:ascii="宋体" w:hAnsi="宋体" w:eastAsia="宋体" w:cs="宋体"/>
                <w:i w:val="0"/>
                <w:iCs w:val="0"/>
                <w:color w:val="000000"/>
                <w:sz w:val="20"/>
                <w:szCs w:val="20"/>
                <w:u w:val="none"/>
              </w:rPr>
            </w:pPr>
          </w:p>
        </w:tc>
      </w:tr>
      <w:tr w14:paraId="2E2C5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trPr>
        <w:tc>
          <w:tcPr>
            <w:tcW w:w="1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092A3">
            <w:pPr>
              <w:jc w:val="center"/>
              <w:rPr>
                <w:rFonts w:hint="eastAsia" w:ascii="宋体" w:hAnsi="宋体" w:eastAsia="宋体" w:cs="宋体"/>
                <w:i w:val="0"/>
                <w:iCs w:val="0"/>
                <w:color w:val="000000"/>
                <w:sz w:val="20"/>
                <w:szCs w:val="20"/>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19F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0B2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34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84D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提高公共服务水平，美化社会环境</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2EE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有效提高</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2D8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有效提高</w:t>
            </w: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ED86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1118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2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9E9CFB">
            <w:pPr>
              <w:jc w:val="center"/>
              <w:rPr>
                <w:rFonts w:hint="eastAsia" w:ascii="宋体" w:hAnsi="宋体" w:eastAsia="宋体" w:cs="宋体"/>
                <w:i w:val="0"/>
                <w:iCs w:val="0"/>
                <w:color w:val="000000"/>
                <w:sz w:val="20"/>
                <w:szCs w:val="20"/>
                <w:u w:val="none"/>
              </w:rPr>
            </w:pPr>
          </w:p>
        </w:tc>
      </w:tr>
      <w:tr w14:paraId="65615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1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62EBF">
            <w:pPr>
              <w:jc w:val="center"/>
              <w:rPr>
                <w:rFonts w:hint="eastAsia" w:ascii="宋体" w:hAnsi="宋体" w:eastAsia="宋体" w:cs="宋体"/>
                <w:i w:val="0"/>
                <w:iCs w:val="0"/>
                <w:color w:val="000000"/>
                <w:sz w:val="20"/>
                <w:szCs w:val="20"/>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26C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5B7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34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C2D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政府购买服务对象满意度</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D3A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F9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AA42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3C4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A3719C">
            <w:pPr>
              <w:jc w:val="center"/>
              <w:rPr>
                <w:rFonts w:hint="eastAsia" w:ascii="宋体" w:hAnsi="宋体" w:eastAsia="宋体" w:cs="宋体"/>
                <w:i w:val="0"/>
                <w:iCs w:val="0"/>
                <w:color w:val="000000"/>
                <w:sz w:val="20"/>
                <w:szCs w:val="20"/>
                <w:u w:val="none"/>
              </w:rPr>
            </w:pPr>
          </w:p>
        </w:tc>
      </w:tr>
      <w:tr w14:paraId="02A88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trPr>
        <w:tc>
          <w:tcPr>
            <w:tcW w:w="852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1213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AB41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F204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100.00分</w:t>
            </w:r>
          </w:p>
        </w:tc>
        <w:tc>
          <w:tcPr>
            <w:tcW w:w="12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C54623">
            <w:pPr>
              <w:jc w:val="center"/>
              <w:rPr>
                <w:rFonts w:hint="eastAsia" w:ascii="宋体" w:hAnsi="宋体" w:eastAsia="宋体" w:cs="宋体"/>
                <w:i w:val="0"/>
                <w:iCs w:val="0"/>
                <w:color w:val="000000"/>
                <w:sz w:val="20"/>
                <w:szCs w:val="20"/>
                <w:u w:val="none"/>
              </w:rPr>
            </w:pPr>
          </w:p>
        </w:tc>
      </w:tr>
    </w:tbl>
    <w:p w14:paraId="64F89272">
      <w:pPr>
        <w:rPr>
          <w:rFonts w:hint="eastAsia" w:ascii="黑体" w:hAnsi="黑体" w:eastAsia="黑体" w:cs="宋体"/>
          <w:bCs/>
          <w:kern w:val="0"/>
          <w:sz w:val="32"/>
          <w:szCs w:val="32"/>
        </w:rPr>
      </w:pPr>
    </w:p>
    <w:p w14:paraId="2E9AB3E3">
      <w:pPr>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十二、其他需说明的事项</w:t>
      </w:r>
    </w:p>
    <w:p w14:paraId="57103D32">
      <w:pPr>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本单位无其他需说明事项</w:t>
      </w:r>
    </w:p>
    <w:p w14:paraId="4CF0513A">
      <w:pPr>
        <w:jc w:val="center"/>
        <w:outlineLvl w:val="0"/>
        <w:rPr>
          <w:rFonts w:ascii="黑体" w:hAnsi="黑体" w:eastAsia="黑体"/>
          <w:sz w:val="32"/>
          <w:szCs w:val="32"/>
        </w:rPr>
      </w:pPr>
      <w:bookmarkStart w:id="38" w:name="_Toc24143"/>
      <w:r>
        <w:rPr>
          <w:rFonts w:hint="eastAsia" w:ascii="黑体" w:hAnsi="黑体" w:eastAsia="黑体"/>
          <w:sz w:val="32"/>
          <w:szCs w:val="32"/>
        </w:rPr>
        <w:br w:type="page"/>
      </w:r>
      <w:bookmarkStart w:id="39" w:name="_Toc30038"/>
      <w:r>
        <w:rPr>
          <w:rFonts w:hint="eastAsia" w:ascii="黑体" w:hAnsi="黑体" w:eastAsia="黑体"/>
          <w:sz w:val="32"/>
          <w:szCs w:val="32"/>
        </w:rPr>
        <w:t>第三部分 专业名词解释</w:t>
      </w:r>
      <w:bookmarkEnd w:id="38"/>
      <w:bookmarkEnd w:id="39"/>
    </w:p>
    <w:p w14:paraId="146EDBD2">
      <w:pPr>
        <w:autoSpaceDE w:val="0"/>
        <w:autoSpaceDN w:val="0"/>
        <w:ind w:firstLine="643" w:firstLineChars="200"/>
        <w:rPr>
          <w:rFonts w:ascii="仿宋_GB2312" w:eastAsia="仿宋_GB2312"/>
          <w:sz w:val="32"/>
          <w:szCs w:val="32"/>
        </w:rPr>
      </w:pPr>
      <w:r>
        <w:rPr>
          <w:rFonts w:hint="eastAsia" w:ascii="仿宋_GB2312" w:eastAsia="仿宋_GB2312"/>
          <w:b/>
          <w:bCs/>
          <w:sz w:val="32"/>
          <w:szCs w:val="32"/>
        </w:rPr>
        <w:t>一、财政拨款收入：</w:t>
      </w:r>
      <w:r>
        <w:rPr>
          <w:rFonts w:hint="eastAsia" w:ascii="仿宋_GB2312" w:eastAsia="仿宋_GB2312"/>
          <w:sz w:val="32"/>
          <w:szCs w:val="32"/>
        </w:rPr>
        <w:t>指同级财政当年拨付的资金。</w:t>
      </w:r>
    </w:p>
    <w:p w14:paraId="544FCC13">
      <w:pPr>
        <w:autoSpaceDE w:val="0"/>
        <w:autoSpaceDN w:val="0"/>
        <w:ind w:firstLine="643" w:firstLineChars="200"/>
        <w:rPr>
          <w:rFonts w:ascii="仿宋_GB2312" w:eastAsia="仿宋_GB2312"/>
          <w:sz w:val="32"/>
          <w:szCs w:val="32"/>
        </w:rPr>
      </w:pPr>
      <w:r>
        <w:rPr>
          <w:rFonts w:hint="eastAsia" w:ascii="仿宋_GB2312" w:eastAsia="仿宋_GB2312"/>
          <w:b/>
          <w:bCs/>
          <w:sz w:val="32"/>
          <w:szCs w:val="32"/>
        </w:rPr>
        <w:t>二、上级补助收入：</w:t>
      </w:r>
      <w:r>
        <w:rPr>
          <w:rFonts w:hint="eastAsia" w:ascii="仿宋_GB2312" w:eastAsia="仿宋_GB2312"/>
          <w:sz w:val="32"/>
          <w:szCs w:val="32"/>
        </w:rPr>
        <w:t>指事业单位从主管部门和上级单位取得的非财政补助收入。</w:t>
      </w:r>
    </w:p>
    <w:p w14:paraId="4C6E6AC5">
      <w:pPr>
        <w:autoSpaceDE w:val="0"/>
        <w:autoSpaceDN w:val="0"/>
        <w:ind w:firstLine="643" w:firstLineChars="200"/>
        <w:rPr>
          <w:rFonts w:ascii="仿宋_GB2312" w:eastAsia="仿宋_GB2312"/>
          <w:sz w:val="32"/>
          <w:szCs w:val="32"/>
        </w:rPr>
      </w:pPr>
      <w:r>
        <w:rPr>
          <w:rFonts w:hint="eastAsia" w:ascii="仿宋_GB2312" w:eastAsia="仿宋_GB2312"/>
          <w:b/>
          <w:bCs/>
          <w:sz w:val="32"/>
          <w:szCs w:val="32"/>
        </w:rPr>
        <w:t>三、事业收入：</w:t>
      </w:r>
      <w:r>
        <w:rPr>
          <w:rFonts w:hint="eastAsia" w:ascii="仿宋_GB2312" w:eastAsia="仿宋_GB2312"/>
          <w:sz w:val="32"/>
          <w:szCs w:val="32"/>
        </w:rPr>
        <w:t>指事业单位开展专业业务活动及其辅助活动所取得的收入。</w:t>
      </w:r>
    </w:p>
    <w:p w14:paraId="0895C9F5">
      <w:pPr>
        <w:autoSpaceDE w:val="0"/>
        <w:autoSpaceDN w:val="0"/>
        <w:ind w:firstLine="643" w:firstLineChars="200"/>
        <w:rPr>
          <w:rFonts w:ascii="仿宋_GB2312" w:eastAsia="仿宋_GB2312"/>
          <w:sz w:val="32"/>
          <w:szCs w:val="32"/>
        </w:rPr>
      </w:pPr>
      <w:r>
        <w:rPr>
          <w:rFonts w:hint="eastAsia" w:ascii="仿宋_GB2312" w:eastAsia="仿宋_GB2312"/>
          <w:b/>
          <w:bCs/>
          <w:sz w:val="32"/>
          <w:szCs w:val="32"/>
        </w:rPr>
        <w:t>四、经营收入：</w:t>
      </w:r>
      <w:r>
        <w:rPr>
          <w:rFonts w:hint="eastAsia" w:ascii="仿宋_GB2312" w:eastAsia="仿宋_GB2312"/>
          <w:sz w:val="32"/>
          <w:szCs w:val="32"/>
        </w:rPr>
        <w:t>指事业单位在专业业务活动及其辅助活动之外开展非独立核算经营活动取得的收入。</w:t>
      </w:r>
    </w:p>
    <w:p w14:paraId="2577B7E6">
      <w:pPr>
        <w:autoSpaceDE w:val="0"/>
        <w:autoSpaceDN w:val="0"/>
        <w:ind w:firstLine="643" w:firstLineChars="200"/>
        <w:rPr>
          <w:rFonts w:ascii="仿宋_GB2312" w:eastAsia="仿宋_GB2312"/>
          <w:sz w:val="32"/>
          <w:szCs w:val="32"/>
        </w:rPr>
      </w:pPr>
      <w:r>
        <w:rPr>
          <w:rFonts w:hint="eastAsia" w:ascii="仿宋_GB2312" w:eastAsia="仿宋_GB2312"/>
          <w:b/>
          <w:bCs/>
          <w:sz w:val="32"/>
          <w:szCs w:val="32"/>
        </w:rPr>
        <w:t>五、附属单位上缴收入：</w:t>
      </w:r>
      <w:r>
        <w:rPr>
          <w:rFonts w:hint="eastAsia" w:ascii="仿宋_GB2312" w:eastAsia="仿宋_GB2312"/>
          <w:sz w:val="32"/>
          <w:szCs w:val="32"/>
        </w:rPr>
        <w:t>指事业单位附属的独立核算单位按有关规定上缴的收入。</w:t>
      </w:r>
    </w:p>
    <w:p w14:paraId="2A843435">
      <w:pPr>
        <w:autoSpaceDE w:val="0"/>
        <w:autoSpaceDN w:val="0"/>
        <w:ind w:firstLine="643" w:firstLineChars="200"/>
        <w:rPr>
          <w:rFonts w:ascii="仿宋_GB2312" w:eastAsia="仿宋_GB2312"/>
          <w:sz w:val="32"/>
          <w:szCs w:val="32"/>
        </w:rPr>
      </w:pPr>
      <w:r>
        <w:rPr>
          <w:rFonts w:hint="eastAsia" w:ascii="仿宋_GB2312" w:eastAsia="仿宋_GB2312"/>
          <w:b/>
          <w:bCs/>
          <w:sz w:val="32"/>
          <w:szCs w:val="32"/>
        </w:rPr>
        <w:t>六、其他收入：</w:t>
      </w:r>
      <w:r>
        <w:rPr>
          <w:rFonts w:hint="eastAsia" w:ascii="仿宋_GB2312" w:eastAsia="仿宋_GB2312"/>
          <w:sz w:val="32"/>
          <w:szCs w:val="32"/>
        </w:rPr>
        <w:t>指除上述“财政拨款收入”、“事业收入”、“经营收入”、“附属单位上缴收入”等之外取得的收入。</w:t>
      </w:r>
    </w:p>
    <w:p w14:paraId="219C9D92">
      <w:pPr>
        <w:autoSpaceDE w:val="0"/>
        <w:autoSpaceDN w:val="0"/>
        <w:ind w:firstLine="643" w:firstLineChars="200"/>
        <w:rPr>
          <w:rFonts w:ascii="仿宋_GB2312" w:eastAsia="仿宋_GB2312"/>
          <w:sz w:val="32"/>
          <w:szCs w:val="32"/>
        </w:rPr>
      </w:pPr>
      <w:r>
        <w:rPr>
          <w:rFonts w:hint="eastAsia" w:ascii="仿宋_GB2312" w:eastAsia="仿宋_GB2312"/>
          <w:b/>
          <w:bCs/>
          <w:sz w:val="32"/>
          <w:szCs w:val="32"/>
        </w:rPr>
        <w:t>七、年初结转和结余：</w:t>
      </w:r>
      <w:r>
        <w:rPr>
          <w:rFonts w:hint="eastAsia" w:ascii="仿宋_GB2312" w:eastAsia="仿宋_GB2312"/>
          <w:sz w:val="32"/>
          <w:szCs w:val="32"/>
        </w:rPr>
        <w:t>指以前年度支出预算因客观条件变化未执行完毕、结转到本年度按有关规定继续使用的资金，既包括财政拨款结转和结余，也包括事业收入、经营收入、其他收入的结转和结余。</w:t>
      </w:r>
    </w:p>
    <w:p w14:paraId="57CD1A74">
      <w:pPr>
        <w:autoSpaceDE w:val="0"/>
        <w:autoSpaceDN w:val="0"/>
        <w:ind w:firstLine="643" w:firstLineChars="200"/>
        <w:rPr>
          <w:rFonts w:ascii="仿宋_GB2312" w:eastAsia="仿宋_GB2312"/>
          <w:sz w:val="32"/>
          <w:szCs w:val="32"/>
        </w:rPr>
      </w:pPr>
      <w:r>
        <w:rPr>
          <w:rFonts w:hint="eastAsia" w:ascii="仿宋_GB2312" w:eastAsia="仿宋_GB2312"/>
          <w:b/>
          <w:bCs/>
          <w:sz w:val="32"/>
          <w:szCs w:val="32"/>
        </w:rPr>
        <w:t>八、年末结转和结余：</w:t>
      </w:r>
      <w:r>
        <w:rPr>
          <w:rFonts w:hint="eastAsia" w:ascii="仿宋_GB2312" w:eastAsia="仿宋_GB2312"/>
          <w:sz w:val="32"/>
          <w:szCs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4641D5D">
      <w:pPr>
        <w:autoSpaceDE w:val="0"/>
        <w:autoSpaceDN w:val="0"/>
        <w:ind w:firstLine="643" w:firstLineChars="200"/>
        <w:rPr>
          <w:rFonts w:ascii="仿宋_GB2312" w:eastAsia="仿宋_GB2312"/>
          <w:sz w:val="32"/>
          <w:szCs w:val="32"/>
        </w:rPr>
      </w:pPr>
      <w:r>
        <w:rPr>
          <w:rFonts w:hint="eastAsia" w:ascii="仿宋_GB2312" w:eastAsia="仿宋_GB2312"/>
          <w:b/>
          <w:bCs/>
          <w:sz w:val="32"/>
          <w:szCs w:val="32"/>
        </w:rPr>
        <w:t>九、基本支出：</w:t>
      </w:r>
      <w:r>
        <w:rPr>
          <w:rFonts w:hint="eastAsia" w:ascii="仿宋_GB2312" w:eastAsia="仿宋_GB2312"/>
          <w:sz w:val="32"/>
          <w:szCs w:val="32"/>
        </w:rPr>
        <w:t>指为保障机构正常运转、完成日常工作任务而发生的人员支出和公用支出。</w:t>
      </w:r>
    </w:p>
    <w:p w14:paraId="72A1CD8C">
      <w:pPr>
        <w:autoSpaceDE w:val="0"/>
        <w:autoSpaceDN w:val="0"/>
        <w:ind w:firstLine="643" w:firstLineChars="200"/>
        <w:rPr>
          <w:rFonts w:ascii="仿宋_GB2312" w:eastAsia="仿宋_GB2312"/>
          <w:sz w:val="32"/>
          <w:szCs w:val="32"/>
        </w:rPr>
      </w:pPr>
      <w:r>
        <w:rPr>
          <w:rFonts w:hint="eastAsia" w:ascii="仿宋_GB2312" w:eastAsia="仿宋_GB2312"/>
          <w:b/>
          <w:bCs/>
          <w:sz w:val="32"/>
          <w:szCs w:val="32"/>
        </w:rPr>
        <w:t>十、项目支出：</w:t>
      </w:r>
      <w:r>
        <w:rPr>
          <w:rFonts w:hint="eastAsia" w:ascii="仿宋_GB2312" w:eastAsia="仿宋_GB2312"/>
          <w:sz w:val="32"/>
          <w:szCs w:val="32"/>
        </w:rPr>
        <w:t>指在基本支出之外为完成特定行政任务和事业发展目标所发生的支出。</w:t>
      </w:r>
    </w:p>
    <w:p w14:paraId="2F8F3B9E">
      <w:pPr>
        <w:autoSpaceDE w:val="0"/>
        <w:autoSpaceDN w:val="0"/>
        <w:ind w:firstLine="643" w:firstLineChars="200"/>
        <w:rPr>
          <w:rFonts w:ascii="仿宋_GB2312" w:eastAsia="仿宋_GB2312"/>
          <w:sz w:val="32"/>
          <w:szCs w:val="32"/>
        </w:rPr>
      </w:pPr>
      <w:r>
        <w:rPr>
          <w:rFonts w:hint="eastAsia" w:ascii="仿宋_GB2312" w:eastAsia="仿宋_GB2312"/>
          <w:b/>
          <w:bCs/>
          <w:sz w:val="32"/>
          <w:szCs w:val="32"/>
        </w:rPr>
        <w:t>十一、经营支出：</w:t>
      </w:r>
      <w:r>
        <w:rPr>
          <w:rFonts w:hint="eastAsia" w:ascii="仿宋_GB2312" w:eastAsia="仿宋_GB2312"/>
          <w:sz w:val="32"/>
          <w:szCs w:val="32"/>
        </w:rPr>
        <w:t>指事业单位在专业业务活动及其辅助活动之外开展非独立核算经营活动发生的支出。</w:t>
      </w:r>
    </w:p>
    <w:p w14:paraId="1DB1F6AE">
      <w:pPr>
        <w:autoSpaceDE w:val="0"/>
        <w:autoSpaceDN w:val="0"/>
        <w:ind w:firstLine="643" w:firstLineChars="200"/>
        <w:rPr>
          <w:rFonts w:ascii="仿宋_GB2312" w:eastAsia="仿宋_GB2312"/>
          <w:sz w:val="32"/>
          <w:szCs w:val="32"/>
        </w:rPr>
      </w:pPr>
      <w:r>
        <w:rPr>
          <w:rFonts w:hint="eastAsia" w:ascii="仿宋_GB2312" w:eastAsia="仿宋_GB2312"/>
          <w:b/>
          <w:bCs/>
          <w:sz w:val="32"/>
          <w:szCs w:val="32"/>
        </w:rPr>
        <w:t>十二、对附属单位补助支出：</w:t>
      </w:r>
      <w:r>
        <w:rPr>
          <w:rFonts w:hint="eastAsia" w:ascii="仿宋_GB2312" w:eastAsia="仿宋_GB2312"/>
          <w:sz w:val="32"/>
          <w:szCs w:val="32"/>
        </w:rPr>
        <w:t>指事业单位发生的用非财政预算资金对附属单位的补助支出。</w:t>
      </w:r>
    </w:p>
    <w:p w14:paraId="2B40DFC9">
      <w:pPr>
        <w:autoSpaceDE w:val="0"/>
        <w:autoSpaceDN w:val="0"/>
        <w:ind w:firstLine="643" w:firstLineChars="200"/>
        <w:rPr>
          <w:rFonts w:ascii="仿宋_GB2312" w:eastAsia="仿宋_GB2312"/>
          <w:sz w:val="32"/>
          <w:szCs w:val="32"/>
        </w:rPr>
      </w:pPr>
      <w:r>
        <w:rPr>
          <w:rFonts w:hint="eastAsia" w:ascii="仿宋_GB2312" w:eastAsia="仿宋_GB2312"/>
          <w:b/>
          <w:bCs/>
          <w:sz w:val="32"/>
          <w:szCs w:val="32"/>
        </w:rPr>
        <w:t>十三、“三公”经费：</w:t>
      </w:r>
      <w:r>
        <w:rPr>
          <w:rFonts w:hint="eastAsia" w:ascii="仿宋_GB2312" w:eastAsia="仿宋_GB2312"/>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7AB39A95">
      <w:pPr>
        <w:ind w:firstLine="643" w:firstLineChars="200"/>
        <w:rPr>
          <w:rFonts w:ascii="仿宋_GB2312" w:eastAsia="仿宋_GB2312"/>
          <w:sz w:val="32"/>
          <w:szCs w:val="32"/>
        </w:rPr>
      </w:pPr>
      <w:r>
        <w:rPr>
          <w:rFonts w:hint="eastAsia" w:ascii="仿宋_GB2312" w:eastAsia="仿宋_GB2312"/>
          <w:b/>
          <w:bCs/>
          <w:sz w:val="32"/>
          <w:szCs w:val="32"/>
        </w:rPr>
        <w:t>十四、机关运行经费：</w:t>
      </w:r>
      <w:r>
        <w:rPr>
          <w:rFonts w:hint="eastAsia" w:ascii="仿宋_GB2312" w:eastAsia="仿宋_GB2312"/>
          <w:sz w:val="32"/>
          <w:szCs w:val="32"/>
        </w:rPr>
        <w:t>行政单位和参照公务员法管理的事业单位财政拨款基本支出中的公用经费支出。</w:t>
      </w:r>
    </w:p>
    <w:p w14:paraId="00FE8A92">
      <w:pPr>
        <w:ind w:firstLine="640" w:firstLineChars="200"/>
        <w:jc w:val="center"/>
        <w:outlineLvl w:val="0"/>
        <w:rPr>
          <w:rFonts w:ascii="黑体" w:hAnsi="黑体" w:eastAsia="黑体"/>
          <w:sz w:val="32"/>
          <w:szCs w:val="32"/>
        </w:rPr>
      </w:pPr>
      <w:r>
        <w:rPr>
          <w:rFonts w:hint="eastAsia" w:ascii="仿宋_GB2312" w:eastAsia="仿宋_GB2312"/>
          <w:sz w:val="32"/>
          <w:szCs w:val="32"/>
        </w:rPr>
        <w:br w:type="page"/>
      </w:r>
      <w:bookmarkStart w:id="40" w:name="_Toc6831"/>
      <w:r>
        <w:rPr>
          <w:rFonts w:hint="eastAsia" w:ascii="黑体" w:hAnsi="黑体" w:eastAsia="黑体"/>
          <w:sz w:val="32"/>
          <w:szCs w:val="32"/>
        </w:rPr>
        <w:t xml:space="preserve">第四部分 </w:t>
      </w:r>
      <w:r>
        <w:rPr>
          <w:rFonts w:hint="eastAsia" w:ascii="黑体" w:hAnsi="黑体" w:eastAsia="黑体"/>
          <w:sz w:val="32"/>
          <w:szCs w:val="32"/>
          <w:lang w:val="en-US" w:eastAsia="zh-CN"/>
        </w:rPr>
        <w:t>部门</w:t>
      </w:r>
      <w:r>
        <w:rPr>
          <w:rFonts w:hint="eastAsia" w:ascii="黑体" w:hAnsi="黑体" w:eastAsia="黑体"/>
          <w:sz w:val="32"/>
          <w:szCs w:val="32"/>
        </w:rPr>
        <w:t>决算报表（见附表）</w:t>
      </w:r>
      <w:bookmarkEnd w:id="40"/>
    </w:p>
    <w:p w14:paraId="5C66C8DA">
      <w:pPr>
        <w:ind w:firstLine="640" w:firstLineChars="200"/>
        <w:outlineLvl w:val="1"/>
        <w:rPr>
          <w:rFonts w:ascii="仿宋_GB2312" w:hAnsi="仿宋_GB2312" w:eastAsia="仿宋_GB2312" w:cs="仿宋_GB2312"/>
          <w:bCs/>
          <w:kern w:val="0"/>
          <w:sz w:val="32"/>
          <w:szCs w:val="32"/>
        </w:rPr>
      </w:pPr>
      <w:bookmarkStart w:id="41" w:name="_Toc3845"/>
      <w:bookmarkStart w:id="42" w:name="_Toc6062"/>
      <w:r>
        <w:rPr>
          <w:rFonts w:hint="eastAsia" w:ascii="仿宋_GB2312" w:hAnsi="仿宋_GB2312" w:eastAsia="仿宋_GB2312" w:cs="仿宋_GB2312"/>
          <w:bCs/>
          <w:kern w:val="0"/>
          <w:sz w:val="32"/>
          <w:szCs w:val="32"/>
        </w:rPr>
        <w:t>一、《收入支出决算总表》</w:t>
      </w:r>
      <w:bookmarkEnd w:id="41"/>
      <w:bookmarkEnd w:id="42"/>
    </w:p>
    <w:p w14:paraId="272416C9">
      <w:pPr>
        <w:ind w:firstLine="640" w:firstLineChars="200"/>
        <w:outlineLvl w:val="1"/>
        <w:rPr>
          <w:rFonts w:ascii="仿宋_GB2312" w:hAnsi="仿宋_GB2312" w:eastAsia="仿宋_GB2312" w:cs="仿宋_GB2312"/>
          <w:bCs/>
          <w:kern w:val="0"/>
          <w:sz w:val="32"/>
          <w:szCs w:val="32"/>
        </w:rPr>
      </w:pPr>
      <w:bookmarkStart w:id="43" w:name="_Toc11927"/>
      <w:bookmarkStart w:id="44" w:name="_Toc30364"/>
      <w:r>
        <w:rPr>
          <w:rFonts w:hint="eastAsia" w:ascii="仿宋_GB2312" w:hAnsi="仿宋_GB2312" w:eastAsia="仿宋_GB2312" w:cs="仿宋_GB2312"/>
          <w:bCs/>
          <w:kern w:val="0"/>
          <w:sz w:val="32"/>
          <w:szCs w:val="32"/>
        </w:rPr>
        <w:t>二、《收入决算表》</w:t>
      </w:r>
      <w:bookmarkEnd w:id="43"/>
      <w:bookmarkEnd w:id="44"/>
    </w:p>
    <w:p w14:paraId="02C37FE0">
      <w:pPr>
        <w:ind w:firstLine="640" w:firstLineChars="200"/>
        <w:outlineLvl w:val="1"/>
        <w:rPr>
          <w:rFonts w:ascii="仿宋_GB2312" w:hAnsi="仿宋_GB2312" w:eastAsia="仿宋_GB2312" w:cs="仿宋_GB2312"/>
          <w:bCs/>
          <w:kern w:val="0"/>
          <w:sz w:val="32"/>
          <w:szCs w:val="32"/>
        </w:rPr>
      </w:pPr>
      <w:bookmarkStart w:id="45" w:name="_Toc21304"/>
      <w:bookmarkStart w:id="46" w:name="_Toc7443"/>
      <w:r>
        <w:rPr>
          <w:rFonts w:hint="eastAsia" w:ascii="仿宋_GB2312" w:hAnsi="仿宋_GB2312" w:eastAsia="仿宋_GB2312" w:cs="仿宋_GB2312"/>
          <w:bCs/>
          <w:kern w:val="0"/>
          <w:sz w:val="32"/>
          <w:szCs w:val="32"/>
        </w:rPr>
        <w:t>三、《支出决算表》</w:t>
      </w:r>
      <w:bookmarkEnd w:id="45"/>
      <w:bookmarkEnd w:id="46"/>
    </w:p>
    <w:p w14:paraId="7BC89037">
      <w:pPr>
        <w:ind w:firstLine="640" w:firstLineChars="200"/>
        <w:outlineLvl w:val="1"/>
        <w:rPr>
          <w:rFonts w:ascii="仿宋_GB2312" w:hAnsi="仿宋_GB2312" w:eastAsia="仿宋_GB2312" w:cs="仿宋_GB2312"/>
          <w:bCs/>
          <w:kern w:val="0"/>
          <w:sz w:val="32"/>
          <w:szCs w:val="32"/>
        </w:rPr>
      </w:pPr>
      <w:bookmarkStart w:id="47" w:name="_Toc14238"/>
      <w:bookmarkStart w:id="48" w:name="_Toc24884"/>
      <w:r>
        <w:rPr>
          <w:rFonts w:hint="eastAsia" w:ascii="仿宋_GB2312" w:hAnsi="仿宋_GB2312" w:eastAsia="仿宋_GB2312" w:cs="仿宋_GB2312"/>
          <w:bCs/>
          <w:kern w:val="0"/>
          <w:sz w:val="32"/>
          <w:szCs w:val="32"/>
        </w:rPr>
        <w:t>四、《财政拨款收入支出决算总表》</w:t>
      </w:r>
      <w:bookmarkEnd w:id="47"/>
      <w:bookmarkEnd w:id="48"/>
    </w:p>
    <w:p w14:paraId="368E1AFC">
      <w:pPr>
        <w:ind w:firstLine="640" w:firstLineChars="200"/>
        <w:outlineLvl w:val="1"/>
        <w:rPr>
          <w:rFonts w:ascii="仿宋_GB2312" w:hAnsi="仿宋_GB2312" w:eastAsia="仿宋_GB2312" w:cs="仿宋_GB2312"/>
          <w:bCs/>
          <w:kern w:val="0"/>
          <w:sz w:val="32"/>
          <w:szCs w:val="32"/>
        </w:rPr>
      </w:pPr>
      <w:bookmarkStart w:id="49" w:name="_Toc10347"/>
      <w:bookmarkStart w:id="50" w:name="_Toc16518"/>
      <w:r>
        <w:rPr>
          <w:rFonts w:hint="eastAsia" w:ascii="仿宋_GB2312" w:hAnsi="仿宋_GB2312" w:eastAsia="仿宋_GB2312" w:cs="仿宋_GB2312"/>
          <w:bCs/>
          <w:kern w:val="0"/>
          <w:sz w:val="32"/>
          <w:szCs w:val="32"/>
        </w:rPr>
        <w:t>五、《一般公共预算财政拨款支出决算表》</w:t>
      </w:r>
      <w:bookmarkEnd w:id="49"/>
      <w:bookmarkEnd w:id="50"/>
    </w:p>
    <w:p w14:paraId="5615818A">
      <w:pPr>
        <w:ind w:firstLine="640" w:firstLineChars="200"/>
        <w:outlineLvl w:val="1"/>
        <w:rPr>
          <w:rFonts w:ascii="仿宋_GB2312" w:hAnsi="仿宋_GB2312" w:eastAsia="仿宋_GB2312" w:cs="仿宋_GB2312"/>
          <w:bCs/>
          <w:kern w:val="0"/>
          <w:sz w:val="32"/>
          <w:szCs w:val="32"/>
        </w:rPr>
      </w:pPr>
      <w:bookmarkStart w:id="51" w:name="_Toc20514"/>
      <w:bookmarkStart w:id="52" w:name="_Toc5626"/>
      <w:r>
        <w:rPr>
          <w:rFonts w:hint="eastAsia" w:ascii="仿宋_GB2312" w:hAnsi="仿宋_GB2312" w:eastAsia="仿宋_GB2312" w:cs="仿宋_GB2312"/>
          <w:bCs/>
          <w:kern w:val="0"/>
          <w:sz w:val="32"/>
          <w:szCs w:val="32"/>
        </w:rPr>
        <w:t>六、《一般公共预算财政拨款基本支出决算表》</w:t>
      </w:r>
      <w:bookmarkEnd w:id="51"/>
      <w:bookmarkEnd w:id="52"/>
    </w:p>
    <w:p w14:paraId="13AD9D30">
      <w:pPr>
        <w:ind w:firstLine="640" w:firstLineChars="200"/>
        <w:outlineLvl w:val="1"/>
        <w:rPr>
          <w:rFonts w:ascii="仿宋_GB2312" w:hAnsi="仿宋_GB2312" w:eastAsia="仿宋_GB2312" w:cs="仿宋_GB2312"/>
          <w:bCs/>
          <w:kern w:val="0"/>
          <w:sz w:val="32"/>
          <w:szCs w:val="32"/>
        </w:rPr>
      </w:pPr>
      <w:bookmarkStart w:id="53" w:name="_Toc18055"/>
      <w:bookmarkStart w:id="54" w:name="_Toc5453"/>
      <w:r>
        <w:rPr>
          <w:rFonts w:hint="eastAsia" w:ascii="仿宋_GB2312" w:hAnsi="仿宋_GB2312" w:eastAsia="仿宋_GB2312" w:cs="仿宋_GB2312"/>
          <w:bCs/>
          <w:kern w:val="0"/>
          <w:sz w:val="32"/>
          <w:szCs w:val="32"/>
        </w:rPr>
        <w:t>七、《政府性基金预算财政拨款收入支出决算表》</w:t>
      </w:r>
      <w:bookmarkEnd w:id="53"/>
      <w:bookmarkEnd w:id="54"/>
    </w:p>
    <w:p w14:paraId="30494307">
      <w:pPr>
        <w:ind w:firstLine="640" w:firstLineChars="200"/>
        <w:outlineLvl w:val="1"/>
        <w:rPr>
          <w:rFonts w:ascii="仿宋_GB2312" w:hAnsi="仿宋_GB2312" w:eastAsia="仿宋_GB2312" w:cs="仿宋_GB2312"/>
          <w:bCs/>
          <w:kern w:val="0"/>
          <w:sz w:val="32"/>
          <w:szCs w:val="32"/>
        </w:rPr>
      </w:pPr>
      <w:bookmarkStart w:id="55" w:name="_Toc10719"/>
      <w:r>
        <w:rPr>
          <w:rFonts w:hint="eastAsia" w:ascii="仿宋_GB2312" w:hAnsi="仿宋_GB2312" w:eastAsia="仿宋_GB2312" w:cs="仿宋_GB2312"/>
          <w:bCs/>
          <w:kern w:val="0"/>
          <w:sz w:val="32"/>
          <w:szCs w:val="32"/>
        </w:rPr>
        <w:t>八、《国有资本经营预算财政拨款收入支出决算表》</w:t>
      </w:r>
      <w:bookmarkEnd w:id="55"/>
    </w:p>
    <w:p w14:paraId="16C8406E">
      <w:pPr>
        <w:ind w:firstLine="640" w:firstLineChars="200"/>
        <w:outlineLvl w:val="1"/>
        <w:rPr>
          <w:rFonts w:ascii="黑体" w:hAnsi="黑体" w:eastAsia="黑体" w:cs="宋体"/>
          <w:bCs/>
          <w:kern w:val="0"/>
          <w:sz w:val="32"/>
          <w:szCs w:val="32"/>
        </w:rPr>
      </w:pPr>
      <w:bookmarkStart w:id="56" w:name="_Toc29106"/>
      <w:bookmarkStart w:id="57" w:name="_Toc18861"/>
      <w:bookmarkStart w:id="58" w:name="_Toc32663"/>
      <w:r>
        <w:rPr>
          <w:rFonts w:hint="eastAsia" w:ascii="仿宋_GB2312" w:hAnsi="仿宋_GB2312" w:eastAsia="仿宋_GB2312" w:cs="仿宋_GB2312"/>
          <w:bCs/>
          <w:kern w:val="0"/>
          <w:sz w:val="32"/>
          <w:szCs w:val="32"/>
        </w:rPr>
        <w:t>九、《财政拨款“三公”经费支出决算表》</w:t>
      </w:r>
      <w:bookmarkEnd w:id="56"/>
      <w:bookmarkEnd w:id="57"/>
      <w:bookmarkEnd w:id="58"/>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6E4CB91-5B7B-4B85-AC54-266220B4C84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embedRegular r:id="rId2" w:fontKey="{6F4EA0CD-F046-4901-BDE1-D62FB0F68DFA}"/>
  </w:font>
  <w:font w:name="方正小标宋_GBK">
    <w:panose1 w:val="02000000000000000000"/>
    <w:charset w:val="86"/>
    <w:family w:val="auto"/>
    <w:pitch w:val="default"/>
    <w:sig w:usb0="A00002BF" w:usb1="38CF7CFA" w:usb2="00082016" w:usb3="00000000" w:csb0="00040001" w:csb1="00000000"/>
    <w:embedRegular r:id="rId3" w:fontKey="{EC5B3D89-B489-4C67-A8EA-ACE0A3E04B25}"/>
  </w:font>
  <w:font w:name="方正仿宋_GBK">
    <w:panose1 w:val="02000000000000000000"/>
    <w:charset w:val="86"/>
    <w:family w:val="script"/>
    <w:pitch w:val="default"/>
    <w:sig w:usb0="A00002BF" w:usb1="38CF7CFA" w:usb2="00082016" w:usb3="00000000" w:csb0="00040001" w:csb1="00000000"/>
    <w:embedRegular r:id="rId4" w:fontKey="{894E7FCF-FEE7-4154-A83F-72A8EC36165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F7AAE">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D3E0E5">
                          <w:pPr>
                            <w:pStyle w:val="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&#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6rY5ptYBAACyAwAADgAAAAAAAAABACAAAAAe&#10;AQAAZHJzL2Uyb0RvYy54bWxQSwUGAAAAAAYABgBZAQAAZgUAAAAA&#10;">
              <v:fill on="f" focussize="0,0"/>
              <v:stroke on="f"/>
              <v:imagedata o:title=""/>
              <o:lock v:ext="edit" aspectratio="f"/>
              <v:textbox inset="0mm,0mm,0mm,0mm" style="mso-fit-shape-to-text:t;">
                <w:txbxContent>
                  <w:p w14:paraId="7ED3E0E5">
                    <w:pPr>
                      <w:pStyle w:val="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365B11"/>
    <w:rsid w:val="0002037E"/>
    <w:rsid w:val="00285242"/>
    <w:rsid w:val="00365B11"/>
    <w:rsid w:val="01726FEF"/>
    <w:rsid w:val="02F73D26"/>
    <w:rsid w:val="034D4FEF"/>
    <w:rsid w:val="03DE0026"/>
    <w:rsid w:val="043E5B56"/>
    <w:rsid w:val="06792773"/>
    <w:rsid w:val="09A729D8"/>
    <w:rsid w:val="0A5B2253"/>
    <w:rsid w:val="0A7B4867"/>
    <w:rsid w:val="0AC260D6"/>
    <w:rsid w:val="0B8C3ECC"/>
    <w:rsid w:val="0C3613A3"/>
    <w:rsid w:val="0C7227A7"/>
    <w:rsid w:val="0DCA6EF7"/>
    <w:rsid w:val="0E4B1576"/>
    <w:rsid w:val="11E15093"/>
    <w:rsid w:val="120E0809"/>
    <w:rsid w:val="166C15B6"/>
    <w:rsid w:val="1875698D"/>
    <w:rsid w:val="19071D6C"/>
    <w:rsid w:val="1C317E4F"/>
    <w:rsid w:val="1C472464"/>
    <w:rsid w:val="1DAF458D"/>
    <w:rsid w:val="1E086ACE"/>
    <w:rsid w:val="1EAA4A5F"/>
    <w:rsid w:val="1F040613"/>
    <w:rsid w:val="1F587A0B"/>
    <w:rsid w:val="2064678E"/>
    <w:rsid w:val="20DD6197"/>
    <w:rsid w:val="21F317F2"/>
    <w:rsid w:val="2241392C"/>
    <w:rsid w:val="23BC04D2"/>
    <w:rsid w:val="25275618"/>
    <w:rsid w:val="260A5775"/>
    <w:rsid w:val="264F2099"/>
    <w:rsid w:val="27CF2642"/>
    <w:rsid w:val="282459E2"/>
    <w:rsid w:val="2A053397"/>
    <w:rsid w:val="2A444FB1"/>
    <w:rsid w:val="2A6064E2"/>
    <w:rsid w:val="2BA9200B"/>
    <w:rsid w:val="2D1136DF"/>
    <w:rsid w:val="2DAE0E44"/>
    <w:rsid w:val="2FD27414"/>
    <w:rsid w:val="313F1D52"/>
    <w:rsid w:val="318029AB"/>
    <w:rsid w:val="31C63837"/>
    <w:rsid w:val="326516D3"/>
    <w:rsid w:val="326F0A17"/>
    <w:rsid w:val="34623382"/>
    <w:rsid w:val="3914510A"/>
    <w:rsid w:val="3B1220C9"/>
    <w:rsid w:val="3D5275AC"/>
    <w:rsid w:val="3EA7725F"/>
    <w:rsid w:val="3F01778F"/>
    <w:rsid w:val="40834692"/>
    <w:rsid w:val="423A32B2"/>
    <w:rsid w:val="464B7E04"/>
    <w:rsid w:val="46901EEE"/>
    <w:rsid w:val="469C74D2"/>
    <w:rsid w:val="47445515"/>
    <w:rsid w:val="47B072A6"/>
    <w:rsid w:val="48E21116"/>
    <w:rsid w:val="49C97D5C"/>
    <w:rsid w:val="4AE426AE"/>
    <w:rsid w:val="4B4C0111"/>
    <w:rsid w:val="4C3E7B7E"/>
    <w:rsid w:val="4D730311"/>
    <w:rsid w:val="505A358E"/>
    <w:rsid w:val="50DB5F45"/>
    <w:rsid w:val="52F92565"/>
    <w:rsid w:val="55DA564E"/>
    <w:rsid w:val="56E07045"/>
    <w:rsid w:val="583059FA"/>
    <w:rsid w:val="587E6212"/>
    <w:rsid w:val="58D10A34"/>
    <w:rsid w:val="59973ABF"/>
    <w:rsid w:val="5A74678C"/>
    <w:rsid w:val="5AFC6609"/>
    <w:rsid w:val="5FA17648"/>
    <w:rsid w:val="613409CB"/>
    <w:rsid w:val="61A46A97"/>
    <w:rsid w:val="62DD7D21"/>
    <w:rsid w:val="65D97752"/>
    <w:rsid w:val="664C500C"/>
    <w:rsid w:val="6773145F"/>
    <w:rsid w:val="68DB0208"/>
    <w:rsid w:val="69846A0E"/>
    <w:rsid w:val="69AD798C"/>
    <w:rsid w:val="6B68175F"/>
    <w:rsid w:val="6B8B5C99"/>
    <w:rsid w:val="6D903C78"/>
    <w:rsid w:val="6E0F7A08"/>
    <w:rsid w:val="6E801ABC"/>
    <w:rsid w:val="71473612"/>
    <w:rsid w:val="718F7F65"/>
    <w:rsid w:val="73423603"/>
    <w:rsid w:val="73DE4104"/>
    <w:rsid w:val="73FB6630"/>
    <w:rsid w:val="74CE04EC"/>
    <w:rsid w:val="74E76DCD"/>
    <w:rsid w:val="76660D7C"/>
    <w:rsid w:val="76CF72D3"/>
    <w:rsid w:val="77ED6F44"/>
    <w:rsid w:val="78B87A58"/>
    <w:rsid w:val="795A0A34"/>
    <w:rsid w:val="79FB30B5"/>
    <w:rsid w:val="7A0D3BC7"/>
    <w:rsid w:val="7A3A3CDB"/>
    <w:rsid w:val="7EAC4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ind w:left="1277"/>
      <w:outlineLvl w:val="1"/>
    </w:pPr>
    <w:rPr>
      <w:rFonts w:ascii="仿宋_GB2312" w:hAnsi="仿宋_GB2312" w:eastAsia="仿宋_GB2312" w:cs="仿宋_GB2312"/>
      <w:b/>
      <w:bCs/>
      <w:sz w:val="32"/>
      <w:szCs w:val="32"/>
      <w:lang w:val="zh-CN" w:eastAsia="zh-CN" w:bidi="zh-CN"/>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toc 3"/>
    <w:basedOn w:val="1"/>
    <w:next w:val="1"/>
    <w:qFormat/>
    <w:uiPriority w:val="0"/>
    <w:pPr>
      <w:ind w:left="840" w:leftChars="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13">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4">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1142</Words>
  <Characters>6514</Characters>
  <Lines>54</Lines>
  <Paragraphs>15</Paragraphs>
  <TotalTime>83</TotalTime>
  <ScaleCrop>false</ScaleCrop>
  <LinksUpToDate>false</LinksUpToDate>
  <CharactersWithSpaces>7641</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2025-08-20T11:26:00Z</dcterms:created>
  <dc:creator>GXR</dc:creator>
  <cp:lastModifiedBy>师媛媛</cp:lastModifiedBy>
  <cp:lastPrinted>2024-07-22T11:58:00Z</cp:lastPrinted>
  <dcterms:modified xsi:type="dcterms:W3CDTF">2025-10-21T05:07:42Z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8FDA567F26D84A8C8A1B02E29FDE1AE6_13</vt:lpwstr>
  </property>
  <property fmtid="{D5CDD505-2E9C-101B-9397-08002B2CF9AE}" pid="4" name="KSOTemplateDocerSaveRecord">
    <vt:lpwstr>eyJoZGlkIjoiMDAwYmRmZTlkODBlYWI2MWEzOGMyNWRlOTFmY2QzMTQiLCJ1c2VySWQiOiI3MDk1OTYwNjkifQ==</vt:lpwstr>
  </property>
</Properties>
</file>