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7C0D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宋体" w:cs="Times New Roman"/>
          <w:sz w:val="32"/>
          <w:szCs w:val="32"/>
        </w:rPr>
      </w:pPr>
    </w:p>
    <w:p w14:paraId="4DD91D9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宋体" w:cs="Times New Roman"/>
          <w:sz w:val="44"/>
          <w:szCs w:val="44"/>
        </w:rPr>
      </w:pPr>
    </w:p>
    <w:p w14:paraId="4BC71CA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宋体" w:cs="Times New Roman"/>
          <w:sz w:val="44"/>
          <w:szCs w:val="44"/>
        </w:rPr>
      </w:pPr>
    </w:p>
    <w:p w14:paraId="2AABC50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rPr>
          <w:rFonts w:hint="default" w:ascii="Times New Roman" w:hAnsi="Times New Roman" w:eastAsia="宋体" w:cs="Times New Roman"/>
          <w:sz w:val="44"/>
          <w:szCs w:val="44"/>
        </w:rPr>
      </w:pPr>
    </w:p>
    <w:p w14:paraId="00965E4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outlineLvl w:val="0"/>
        <w:rPr>
          <w:rFonts w:hint="default" w:ascii="Times New Roman" w:hAnsi="Times New Roman" w:eastAsia="黑体" w:cs="Times New Roman"/>
          <w:b w:val="0"/>
          <w:w w:val="80"/>
          <w:sz w:val="44"/>
          <w:szCs w:val="44"/>
        </w:rPr>
      </w:pPr>
      <w:r>
        <w:rPr>
          <w:rFonts w:hint="default" w:ascii="Times New Roman" w:hAnsi="Times New Roman" w:eastAsia="黑体" w:cs="Times New Roman"/>
          <w:b w:val="0"/>
          <w:w w:val="80"/>
          <w:sz w:val="44"/>
          <w:szCs w:val="44"/>
        </w:rPr>
        <w:t>乌鲁木齐经济技术开发区（乌鲁木齐市头屯河区）</w:t>
      </w:r>
    </w:p>
    <w:p w14:paraId="6E41BE4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outlineLvl w:val="0"/>
        <w:rPr>
          <w:rFonts w:hint="default" w:ascii="Times New Roman" w:hAnsi="Times New Roman" w:eastAsia="黑体" w:cs="Times New Roman"/>
          <w:sz w:val="44"/>
          <w:szCs w:val="44"/>
        </w:rPr>
      </w:pPr>
      <w:r>
        <w:rPr>
          <w:rFonts w:hint="default" w:ascii="Times New Roman" w:hAnsi="Times New Roman" w:eastAsia="黑体" w:cs="Times New Roman"/>
          <w:b w:val="0"/>
          <w:sz w:val="44"/>
          <w:szCs w:val="44"/>
        </w:rPr>
        <w:t>城市管理局2024年度部门决算公开说明</w:t>
      </w:r>
    </w:p>
    <w:p w14:paraId="568E508F">
      <w:pPr>
        <w:keepNext w:val="0"/>
        <w:keepLines w:val="0"/>
        <w:pageBreakBefore w:val="0"/>
        <w:widowControl/>
        <w:kinsoku/>
        <w:wordWrap/>
        <w:overflowPunct/>
        <w:topLinePunct w:val="0"/>
        <w:autoSpaceDE/>
        <w:autoSpaceDN/>
        <w:bidi w:val="0"/>
        <w:adjustRightInd/>
        <w:snapToGrid/>
        <w:spacing w:line="560" w:lineRule="exact"/>
        <w:rPr>
          <w:rFonts w:hint="default" w:ascii="Times New Roman" w:hAnsi="Times New Roman" w:cs="Times New Roman"/>
        </w:rPr>
      </w:pPr>
      <w:r>
        <w:rPr>
          <w:rFonts w:hint="default" w:ascii="Times New Roman" w:hAnsi="Times New Roman" w:cs="Times New Roman"/>
          <w:b w:val="0"/>
          <w:sz w:val="0"/>
          <w:szCs w:val="0"/>
        </w:rPr>
        <w:br w:type="page"/>
      </w:r>
    </w:p>
    <w:p w14:paraId="2128CD2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b/>
          <w:sz w:val="32"/>
          <w:szCs w:val="32"/>
        </w:rPr>
        <w:t>目  录</w:t>
      </w:r>
    </w:p>
    <w:p w14:paraId="3563688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第一部分单位概况</w:t>
      </w:r>
    </w:p>
    <w:p w14:paraId="774712B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一、主要职能</w:t>
      </w:r>
    </w:p>
    <w:p w14:paraId="40779C0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二、机构设置及人员情况</w:t>
      </w:r>
    </w:p>
    <w:p w14:paraId="3C6EB06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第二部分 部门决算情况说明</w:t>
      </w:r>
    </w:p>
    <w:p w14:paraId="5C2B507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一、收入支出决算总体情况说明</w:t>
      </w:r>
    </w:p>
    <w:p w14:paraId="3A7BDBF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二、收入决算情况说明</w:t>
      </w:r>
    </w:p>
    <w:p w14:paraId="6D0C662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三、支出决算情况说明</w:t>
      </w:r>
    </w:p>
    <w:p w14:paraId="1952B8A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四、财政拨款收入支出决算总体情况说明</w:t>
      </w:r>
    </w:p>
    <w:p w14:paraId="7D77C78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五、一般公共预算财政拨款支出决算情况说明</w:t>
      </w:r>
    </w:p>
    <w:p w14:paraId="5806590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（一）一般公共预算财政拨款支出决算总体情况</w:t>
      </w:r>
    </w:p>
    <w:p w14:paraId="038C190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（二）一般公共预算财政拨款支出决算结构情况</w:t>
      </w:r>
    </w:p>
    <w:p w14:paraId="1C47D0F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（三）一般公共预算财政拨款支出决算具体情况</w:t>
      </w:r>
    </w:p>
    <w:p w14:paraId="2CA6F42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​六、一般公共预算财政拨款基本支出决算情况说明</w:t>
      </w:r>
    </w:p>
    <w:p w14:paraId="2F9E9BD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七、政府性基金预算财政拨款收入支出决算情况说明</w:t>
      </w:r>
    </w:p>
    <w:p w14:paraId="0A1114A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八、国有资本经营预算财政拨款收入支出决算情况说明</w:t>
      </w:r>
    </w:p>
    <w:p w14:paraId="71FA509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九、财政拨款“三公”经费支出决算情况说明</w:t>
      </w:r>
    </w:p>
    <w:p w14:paraId="7C06509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​十、其他重要事项的情况说明</w:t>
      </w:r>
    </w:p>
    <w:p w14:paraId="41E795D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（一）机关运行经费及公用经费支出情况</w:t>
      </w:r>
    </w:p>
    <w:p w14:paraId="1350908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（二）政府采购情况</w:t>
      </w:r>
    </w:p>
    <w:p w14:paraId="3B4F7AF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（三）国有资产占用情况说明</w:t>
      </w:r>
    </w:p>
    <w:p w14:paraId="6F78ABA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十一、预算绩效的情况说明</w:t>
      </w:r>
    </w:p>
    <w:p w14:paraId="68D5579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十二、其他需说明的事项</w:t>
      </w:r>
    </w:p>
    <w:p w14:paraId="57C8F92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第三部分 专业名词解释</w:t>
      </w:r>
    </w:p>
    <w:p w14:paraId="591E234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第四部分 部门决算报表（见附表）</w:t>
      </w:r>
    </w:p>
    <w:p w14:paraId="49081A0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一、《收入支出决算总表》</w:t>
      </w:r>
    </w:p>
    <w:p w14:paraId="2E57F12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二、《收入决算表》</w:t>
      </w:r>
    </w:p>
    <w:p w14:paraId="3AA4F16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三、《支出决算表》</w:t>
      </w:r>
    </w:p>
    <w:p w14:paraId="7BB4C3A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四、《财政拨款收入支出决算总表》</w:t>
      </w:r>
    </w:p>
    <w:p w14:paraId="3D7BD58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五、《一般公共预算财政拨款支出决算表》</w:t>
      </w:r>
    </w:p>
    <w:p w14:paraId="3FD9719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六、《一般公共预算财政拨款基本支出决算表》</w:t>
      </w:r>
    </w:p>
    <w:p w14:paraId="0EEA712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七、《政府性基金预算财政拨款收入支出决算表》</w:t>
      </w:r>
    </w:p>
    <w:p w14:paraId="344E2EB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八、《国有资本经营预算财政拨款收入支出决算表》</w:t>
      </w:r>
    </w:p>
    <w:p w14:paraId="5462FEC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九、《财政拨款“三公”经费支出决算表》</w:t>
      </w:r>
    </w:p>
    <w:p w14:paraId="5FB284BA">
      <w:pPr>
        <w:keepNext w:val="0"/>
        <w:keepLines w:val="0"/>
        <w:pageBreakBefore w:val="0"/>
        <w:widowControl/>
        <w:kinsoku/>
        <w:wordWrap/>
        <w:overflowPunct/>
        <w:topLinePunct w:val="0"/>
        <w:autoSpaceDE/>
        <w:autoSpaceDN/>
        <w:bidi w:val="0"/>
        <w:adjustRightInd/>
        <w:snapToGrid/>
        <w:spacing w:line="560" w:lineRule="exact"/>
        <w:rPr>
          <w:rFonts w:hint="default" w:ascii="Times New Roman" w:hAnsi="Times New Roman" w:cs="Times New Roman"/>
        </w:rPr>
      </w:pPr>
      <w:r>
        <w:rPr>
          <w:rFonts w:hint="default" w:ascii="Times New Roman" w:hAnsi="Times New Roman" w:cs="Times New Roman"/>
          <w:b w:val="0"/>
          <w:sz w:val="0"/>
          <w:szCs w:val="0"/>
        </w:rPr>
        <w:br w:type="page"/>
      </w:r>
    </w:p>
    <w:p w14:paraId="58C9DC0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outlineLvl w:val="0"/>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第一部分 单位概况</w:t>
      </w:r>
    </w:p>
    <w:p w14:paraId="6A706D6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 一、主要职能</w:t>
      </w:r>
    </w:p>
    <w:p w14:paraId="2465AB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1、贯彻执行国家、自治区和乌鲁木齐市有关城市管理</w:t>
      </w:r>
    </w:p>
    <w:p w14:paraId="6BD4D35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及行政综合执法工作的方针、政策和法律、法规，编制城市</w:t>
      </w:r>
    </w:p>
    <w:p w14:paraId="4CBD1E4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管理总体规划中、长期发展规划和年度计划，并组织实施和</w:t>
      </w:r>
    </w:p>
    <w:p w14:paraId="713AC23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监督检查。</w:t>
      </w:r>
    </w:p>
    <w:p w14:paraId="782729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2、提出城市管理改革措施和办法，推进城市管理现代</w:t>
      </w:r>
    </w:p>
    <w:p w14:paraId="4BE7EB0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化进程。</w:t>
      </w:r>
    </w:p>
    <w:p w14:paraId="741726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3、组织实施和监督检查公共空间综合整治工作；负责</w:t>
      </w:r>
    </w:p>
    <w:p w14:paraId="2595923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户外广告、牌匾标识、标语的监督管理工作；负责城市公共</w:t>
      </w:r>
    </w:p>
    <w:p w14:paraId="53AE7F6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照明有关行政许可工作；负责实施城市容貌及公共照明、景</w:t>
      </w:r>
    </w:p>
    <w:p w14:paraId="6310919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观灯光等亮化工作。</w:t>
      </w:r>
    </w:p>
    <w:p w14:paraId="5DFBC9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4、组织实施和监督检查环境卫生整治工作；负责城市</w:t>
      </w:r>
    </w:p>
    <w:p w14:paraId="74C9053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快速路以外的城市道路及各类人行天桥、桥梁、地下通道的</w:t>
      </w:r>
    </w:p>
    <w:p w14:paraId="03BDF79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清扫保洁工作；负责拆除环境卫生设施、城市垃圾清运许可</w:t>
      </w:r>
    </w:p>
    <w:p w14:paraId="478F711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的审核工作；负责对城市废弃物的收集、运输实施监督管理；</w:t>
      </w:r>
    </w:p>
    <w:p w14:paraId="7EC7EA5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组织实施城市生活垃圾的清运工作；负责城市环卫设施及垃</w:t>
      </w:r>
    </w:p>
    <w:p w14:paraId="36D9EAD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圾、冰雪收运、清运设备（施）采购、维护和管理工作；负</w:t>
      </w:r>
    </w:p>
    <w:p w14:paraId="4F2E382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责水冲公厕的日常管理和维护工作。</w:t>
      </w:r>
    </w:p>
    <w:p w14:paraId="5394B2C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5、组织实施和监督检查市政基础设施的维护管理工作；</w:t>
      </w:r>
    </w:p>
    <w:p w14:paraId="63CB6A0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参与市政基础设施及规划区域内建筑的景观亮化建设项目</w:t>
      </w:r>
    </w:p>
    <w:p w14:paraId="026B197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的规划、立项、设计和竣工验收工作；负责市政基础设施的</w:t>
      </w:r>
    </w:p>
    <w:p w14:paraId="13A02C2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监督管理工作；负责机动车停车场备案、管理工作；负责城</w:t>
      </w:r>
    </w:p>
    <w:p w14:paraId="6098E7D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市快速路以外的城市道路及设施养护、管理工作；负责城市</w:t>
      </w:r>
    </w:p>
    <w:p w14:paraId="21B72BC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道路消防设施的维护和管理工作；负责城市快速路以外的城</w:t>
      </w:r>
    </w:p>
    <w:p w14:paraId="6F1AC00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市道路范围内各类天桥、桥梁、地下通道的养护和管理工作；</w:t>
      </w:r>
    </w:p>
    <w:p w14:paraId="6D2EEF5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负责许可范围内城市道路占用、挖掘的审核及监督管理工</w:t>
      </w:r>
    </w:p>
    <w:p w14:paraId="50B74C2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作。</w:t>
      </w:r>
    </w:p>
    <w:p w14:paraId="30B47A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6、负责城市燃气、供热行业的监督管理工作；负责城</w:t>
      </w:r>
    </w:p>
    <w:p w14:paraId="1D68076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市供热经营和权限内燃气经营许可工作；根据乌鲁木齐市燃气、供热相关标准和规范，制定城市燃气、供热行业的技术、</w:t>
      </w:r>
    </w:p>
    <w:p w14:paraId="4F11AC1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运营、服务、供应等管理细则；指导监督燃气、供热行业安全生产、服务质量和应急管理工作。</w:t>
      </w:r>
    </w:p>
    <w:p w14:paraId="73842B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7、根据授权组织开展城市管理行政综合执法工作；组</w:t>
      </w:r>
    </w:p>
    <w:p w14:paraId="66428A1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织开展城市管理行政综合执法问题的调查研究；负责城区行政综合执法队伍建设工作。</w:t>
      </w:r>
    </w:p>
    <w:p w14:paraId="27ACE6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8、组织推进城市管理数字化工作；加强城市管理数字</w:t>
      </w:r>
    </w:p>
    <w:p w14:paraId="1EC7440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化平台建设和功能整合，建设综合性城市管理数据库。</w:t>
      </w:r>
    </w:p>
    <w:p w14:paraId="0468B6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9、组织开展有关城市管理重大科技成果的推广和新技</w:t>
      </w:r>
    </w:p>
    <w:p w14:paraId="5660785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术引进工作；推进城市管理公共服务向市场化、社会化、专业化和产业化方向发展。</w:t>
      </w:r>
    </w:p>
    <w:p w14:paraId="3AD603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10、负责编制市政、环卫、燃气、供热基础设施维护费</w:t>
      </w:r>
    </w:p>
    <w:p w14:paraId="5E542F3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及专项资金年度计划，并对使用情况实施监督管理；负责许可范围内城市道路损坏赔偿费、占用费的收取。</w:t>
      </w:r>
    </w:p>
    <w:p w14:paraId="738B74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11、承办区委、管委会（区人民政府）交办的其他事项。</w:t>
      </w:r>
    </w:p>
    <w:p w14:paraId="33A4CB5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二、机构设置及人员情况</w:t>
      </w:r>
    </w:p>
    <w:p w14:paraId="38C75B1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b w:val="0"/>
          <w:sz w:val="32"/>
          <w:szCs w:val="32"/>
        </w:rPr>
        <w:t>乌鲁木齐经济技术开发区（乌鲁木齐市头屯河区）城市管理局2024年度，实有人数82人，其中：在职人员80人，增加6人；离休人员0人，较上年无变化；退休人员2人，增加2人。</w:t>
      </w:r>
    </w:p>
    <w:p w14:paraId="101E168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b w:val="0"/>
          <w:sz w:val="32"/>
          <w:szCs w:val="32"/>
        </w:rPr>
        <w:t>乌鲁木齐经济技术开发区（乌鲁木齐市头屯河区）城市管理局无下属预算单位，下设</w:t>
      </w:r>
      <w:r>
        <w:rPr>
          <w:rFonts w:hint="default" w:ascii="Times New Roman" w:hAnsi="Times New Roman" w:eastAsia="方正仿宋_GBK" w:cs="Times New Roman"/>
          <w:b w:val="0"/>
          <w:sz w:val="32"/>
          <w:szCs w:val="32"/>
          <w:lang w:val="en-US" w:eastAsia="zh-CN"/>
        </w:rPr>
        <w:t>8</w:t>
      </w:r>
      <w:r>
        <w:rPr>
          <w:rFonts w:hint="default" w:ascii="Times New Roman" w:hAnsi="Times New Roman" w:eastAsia="方正仿宋_GBK" w:cs="Times New Roman"/>
          <w:b w:val="0"/>
          <w:sz w:val="32"/>
          <w:szCs w:val="32"/>
        </w:rPr>
        <w:t>个</w:t>
      </w:r>
      <w:r>
        <w:rPr>
          <w:rFonts w:hint="default" w:ascii="Times New Roman" w:hAnsi="Times New Roman" w:eastAsia="方正仿宋_GBK" w:cs="Times New Roman"/>
          <w:b w:val="0"/>
          <w:sz w:val="32"/>
          <w:szCs w:val="32"/>
          <w:lang w:val="en-US" w:eastAsia="zh-CN"/>
        </w:rPr>
        <w:t>处室</w:t>
      </w:r>
      <w:r>
        <w:rPr>
          <w:rFonts w:hint="default" w:ascii="Times New Roman" w:hAnsi="Times New Roman" w:eastAsia="方正仿宋_GBK" w:cs="Times New Roman"/>
          <w:b w:val="0"/>
          <w:sz w:val="32"/>
          <w:szCs w:val="32"/>
        </w:rPr>
        <w:t>，</w:t>
      </w:r>
      <w:r>
        <w:rPr>
          <w:rFonts w:hint="default" w:ascii="Times New Roman" w:hAnsi="Times New Roman" w:eastAsia="方正仿宋_GBK" w:cs="Times New Roman"/>
          <w:color w:val="000000"/>
          <w:kern w:val="0"/>
          <w:sz w:val="32"/>
          <w:szCs w:val="32"/>
          <w:lang w:val="en-US" w:eastAsia="zh-CN" w:bidi="ar"/>
        </w:rPr>
        <w:t>分别是：综合科、</w:t>
      </w:r>
    </w:p>
    <w:p w14:paraId="6D095FEE">
      <w:pPr>
        <w:keepNext w:val="0"/>
        <w:keepLines w:val="0"/>
        <w:pageBreakBefore w:val="0"/>
        <w:widowControl/>
        <w:suppressLineNumbers w:val="0"/>
        <w:kinsoku/>
        <w:wordWrap/>
        <w:overflowPunct/>
        <w:topLinePunct w:val="0"/>
        <w:autoSpaceDE/>
        <w:autoSpaceDN/>
        <w:bidi w:val="0"/>
        <w:adjustRightInd/>
        <w:snapToGrid/>
        <w:spacing w:line="56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业务科、公共照明维护管理所、市容卫生管理站、市政设施</w:t>
      </w:r>
    </w:p>
    <w:p w14:paraId="44C14547">
      <w:pPr>
        <w:keepNext w:val="0"/>
        <w:keepLines w:val="0"/>
        <w:pageBreakBefore w:val="0"/>
        <w:widowControl/>
        <w:suppressLineNumbers w:val="0"/>
        <w:kinsoku/>
        <w:wordWrap/>
        <w:overflowPunct/>
        <w:topLinePunct w:val="0"/>
        <w:autoSpaceDE/>
        <w:autoSpaceDN/>
        <w:bidi w:val="0"/>
        <w:adjustRightInd/>
        <w:snapToGrid/>
        <w:spacing w:line="56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管理站、公用事业管理服务中心、城区管理服务中心、城市</w:t>
      </w:r>
    </w:p>
    <w:p w14:paraId="6D278CAE">
      <w:pPr>
        <w:keepNext w:val="0"/>
        <w:keepLines w:val="0"/>
        <w:pageBreakBefore w:val="0"/>
        <w:widowControl/>
        <w:suppressLineNumbers w:val="0"/>
        <w:kinsoku/>
        <w:wordWrap/>
        <w:overflowPunct/>
        <w:topLinePunct w:val="0"/>
        <w:autoSpaceDE/>
        <w:autoSpaceDN/>
        <w:bidi w:val="0"/>
        <w:adjustRightInd/>
        <w:snapToGrid/>
        <w:spacing w:line="56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管理行政执法大队。</w:t>
      </w:r>
    </w:p>
    <w:p w14:paraId="5A4DDBD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420" w:firstLineChars="200"/>
        <w:jc w:val="both"/>
        <w:rPr>
          <w:rFonts w:hint="default" w:ascii="Times New Roman" w:hAnsi="Times New Roman" w:cs="Times New Roman"/>
        </w:rPr>
      </w:pPr>
    </w:p>
    <w:p w14:paraId="36B1EE3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outlineLvl w:val="0"/>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第二部分 部门决算情况说明</w:t>
      </w:r>
    </w:p>
    <w:p w14:paraId="6B6351D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一、收入支出决算总体情况说明</w:t>
      </w:r>
    </w:p>
    <w:p w14:paraId="38BC739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b w:val="0"/>
          <w:sz w:val="32"/>
          <w:szCs w:val="32"/>
        </w:rPr>
        <w:t>2024年度收入总计26092.03万元，其中：本年收入合计26092.03万元，使用非财政拨款结余（含专用结余）0.00万元，年初结转和结余0.00万元。</w:t>
      </w:r>
    </w:p>
    <w:p w14:paraId="0FF38E2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b w:val="0"/>
          <w:sz w:val="32"/>
          <w:szCs w:val="32"/>
        </w:rPr>
        <w:t>2024年度支出总计26092.03万元，其中：本年支出合计26092.03万元，结余分配0.00万元，年末结转和结余0.00万元。</w:t>
      </w:r>
    </w:p>
    <w:p w14:paraId="4D893C6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b w:val="0"/>
          <w:sz w:val="32"/>
          <w:szCs w:val="32"/>
        </w:rPr>
        <w:t>收入支出总体与上年相比，增加17666.54万元，增长209.68%，主要原因是：</w:t>
      </w:r>
      <w:r>
        <w:rPr>
          <w:rFonts w:hint="default" w:ascii="Times New Roman" w:hAnsi="Times New Roman" w:eastAsia="方正仿宋_GBK" w:cs="Times New Roman"/>
          <w:b w:val="0"/>
          <w:sz w:val="32"/>
          <w:szCs w:val="32"/>
          <w:lang w:val="en-US" w:eastAsia="zh-CN"/>
        </w:rPr>
        <w:t>本年度新增市容环卫作业费项目、市政养维护项目、路灯照明维修维护项目等</w:t>
      </w:r>
      <w:r>
        <w:rPr>
          <w:rFonts w:hint="default" w:ascii="Times New Roman" w:hAnsi="Times New Roman" w:eastAsia="方正仿宋_GBK" w:cs="Times New Roman"/>
          <w:b w:val="0"/>
          <w:sz w:val="32"/>
          <w:szCs w:val="32"/>
        </w:rPr>
        <w:t>。</w:t>
      </w:r>
    </w:p>
    <w:p w14:paraId="7C1CA70B">
      <w:pPr>
        <w:keepNext w:val="0"/>
        <w:keepLines w:val="0"/>
        <w:pageBreakBefore w:val="0"/>
        <w:widowControl/>
        <w:numPr>
          <w:ilvl w:val="0"/>
          <w:numId w:val="1"/>
        </w:numPr>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黑体" w:cs="Times New Roman"/>
          <w:b w:val="0"/>
          <w:sz w:val="32"/>
          <w:szCs w:val="32"/>
        </w:rPr>
      </w:pPr>
      <w:r>
        <w:rPr>
          <w:rFonts w:hint="default" w:ascii="Times New Roman" w:hAnsi="Times New Roman" w:eastAsia="黑体" w:cs="Times New Roman"/>
          <w:b w:val="0"/>
          <w:sz w:val="32"/>
          <w:szCs w:val="32"/>
        </w:rPr>
        <w:t>收入决算情况说明</w:t>
      </w:r>
    </w:p>
    <w:p w14:paraId="4901725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本年收入26092.03万元，其中：财政拨款收入26086.76万元占99.98%；上级补助收入0.00万元占0.00%；事业收入0.00万元，占0.00%；经营收入0.00万元占0.00%；附属单位上缴收入0.00万元，占0.00%；其他收入5.27万元，占0.02%。</w:t>
      </w:r>
    </w:p>
    <w:p w14:paraId="4D5C8C9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三、支出决算情况说明</w:t>
      </w:r>
    </w:p>
    <w:p w14:paraId="6B106B3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本年支出26092.03万元，其中：基本支出1395.36万元，占5.35%；项目支出24696.67万元，占94.65%；上缴上级支出0.00万元，占0.00%；经营支出0.00万元，占0.00%；对附属单位补助支出0.00万元，占0.00%。</w:t>
      </w:r>
    </w:p>
    <w:p w14:paraId="13E0484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四、财政拨款收入支出决算总体情况说明</w:t>
      </w:r>
    </w:p>
    <w:p w14:paraId="0729D35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2024年度财政拨款收入总计26086.76万元，其中：年初财政拨款结转和结余0.00万元，本年财政拨款收入26086.76万元。财政拨款支出总计26086.76万元，其中：年末财政拨款结转和结余0.00万元，本年财政拨款支出26086.76万元。</w:t>
      </w:r>
    </w:p>
    <w:p w14:paraId="3C7A771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财政拨款收入支出总体与上年相比，增加17661.27万元，增长209.62%，主要原因是：</w:t>
      </w:r>
      <w:r>
        <w:rPr>
          <w:rFonts w:hint="default" w:ascii="Times New Roman" w:hAnsi="Times New Roman" w:eastAsia="方正仿宋_GBK" w:cs="Times New Roman"/>
          <w:b w:val="0"/>
          <w:sz w:val="32"/>
          <w:szCs w:val="32"/>
          <w:lang w:val="en-US" w:eastAsia="zh-CN"/>
        </w:rPr>
        <w:t>本年度新增市容环卫作业费项目、市政养维护项目、路灯照明维修维护项目等</w:t>
      </w:r>
      <w:bookmarkStart w:id="0" w:name="_GoBack"/>
      <w:bookmarkEnd w:id="0"/>
      <w:r>
        <w:rPr>
          <w:rFonts w:hint="default" w:ascii="Times New Roman" w:hAnsi="Times New Roman" w:eastAsia="方正仿宋_GBK" w:cs="Times New Roman"/>
          <w:b w:val="0"/>
          <w:sz w:val="32"/>
          <w:szCs w:val="32"/>
        </w:rPr>
        <w:t>。与年初预算相比，年初预算数8230.26万元，决算数26086.76万元，预决算差异率216.96%，主要原因是：</w:t>
      </w:r>
      <w:r>
        <w:rPr>
          <w:rFonts w:hint="default" w:ascii="Times New Roman" w:hAnsi="Times New Roman" w:eastAsia="方正仿宋_GBK" w:cs="Times New Roman"/>
          <w:b w:val="0"/>
          <w:sz w:val="32"/>
          <w:szCs w:val="32"/>
          <w:lang w:val="en-US" w:eastAsia="zh-CN"/>
        </w:rPr>
        <w:t>本年度新增市容环卫作业费项目、市政养维护项目、路灯照明维修维护项目等</w:t>
      </w:r>
      <w:r>
        <w:rPr>
          <w:rFonts w:hint="default" w:ascii="Times New Roman" w:hAnsi="Times New Roman" w:eastAsia="方正仿宋_GBK" w:cs="Times New Roman"/>
          <w:b w:val="0"/>
          <w:sz w:val="32"/>
          <w:szCs w:val="32"/>
        </w:rPr>
        <w:t>。</w:t>
      </w:r>
    </w:p>
    <w:p w14:paraId="5E409A1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五、一般公共预算财政拨款支出决算情况说明</w:t>
      </w:r>
    </w:p>
    <w:p w14:paraId="2D563E5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2"/>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（一）一般公共预算财政拨款支出决算总体情况</w:t>
      </w:r>
    </w:p>
    <w:p w14:paraId="7AC9B16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2024年度一般公共预算财政拨款支出21099.94万元，占本年支出合计的80.87%</w:t>
      </w:r>
      <w:r>
        <w:rPr>
          <w:rFonts w:hint="eastAsia" w:ascii="Times New Roman" w:hAnsi="Times New Roman" w:eastAsia="方正仿宋_GBK" w:cs="Times New Roman"/>
          <w:b w:val="0"/>
          <w:sz w:val="32"/>
          <w:szCs w:val="32"/>
          <w:lang w:eastAsia="zh-CN"/>
        </w:rPr>
        <w:t>。</w:t>
      </w:r>
      <w:r>
        <w:rPr>
          <w:rFonts w:hint="default" w:ascii="Times New Roman" w:hAnsi="Times New Roman" w:eastAsia="方正仿宋_GBK" w:cs="Times New Roman"/>
          <w:b w:val="0"/>
          <w:sz w:val="32"/>
          <w:szCs w:val="32"/>
        </w:rPr>
        <w:t>与上年相比，增加19841.66万元，增长1576.89%，主要原因是：</w:t>
      </w:r>
      <w:r>
        <w:rPr>
          <w:rFonts w:hint="default" w:ascii="Times New Roman" w:hAnsi="Times New Roman" w:eastAsia="方正仿宋_GBK" w:cs="Times New Roman"/>
          <w:b w:val="0"/>
          <w:sz w:val="32"/>
          <w:szCs w:val="32"/>
          <w:lang w:val="en-US" w:eastAsia="zh-CN"/>
        </w:rPr>
        <w:t>本年度新增市容环卫作业费项目、市政养维护项目、路灯照明维修维护项目等</w:t>
      </w:r>
      <w:r>
        <w:rPr>
          <w:rFonts w:hint="default" w:ascii="Times New Roman" w:hAnsi="Times New Roman" w:eastAsia="方正仿宋_GBK" w:cs="Times New Roman"/>
          <w:b w:val="0"/>
          <w:sz w:val="32"/>
          <w:szCs w:val="32"/>
        </w:rPr>
        <w:t>。与年初预算相比，年初预算数3297.47万元，决算数21099.94万元，预决算差异率539.88%，主要原因是：</w:t>
      </w:r>
      <w:r>
        <w:rPr>
          <w:rFonts w:hint="default" w:ascii="Times New Roman" w:hAnsi="Times New Roman" w:eastAsia="方正仿宋_GBK" w:cs="Times New Roman"/>
          <w:b w:val="0"/>
          <w:sz w:val="32"/>
          <w:szCs w:val="32"/>
          <w:lang w:val="en-US" w:eastAsia="zh-CN"/>
        </w:rPr>
        <w:t>本年度新增市容环卫作业费项目、市政养维护项目、路灯照明维修维护项目等</w:t>
      </w:r>
      <w:r>
        <w:rPr>
          <w:rFonts w:hint="default" w:ascii="Times New Roman" w:hAnsi="Times New Roman" w:eastAsia="方正仿宋_GBK" w:cs="Times New Roman"/>
          <w:b w:val="0"/>
          <w:sz w:val="32"/>
          <w:szCs w:val="32"/>
        </w:rPr>
        <w:t>。</w:t>
      </w:r>
    </w:p>
    <w:p w14:paraId="4A7748B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2"/>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（二）一般公共预算财政拨款支出决算结构情况</w:t>
      </w:r>
    </w:p>
    <w:p w14:paraId="64A7188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科学技术支出（类）30.00万元，占0.14%。</w:t>
      </w:r>
    </w:p>
    <w:p w14:paraId="7D8507A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社会保障和就业支出（类）143.81万元，占0.68%。</w:t>
      </w:r>
    </w:p>
    <w:p w14:paraId="1F39220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节能环保支出（类）158.42万元，占0.75%。</w:t>
      </w:r>
    </w:p>
    <w:p w14:paraId="56014C9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城乡社区支出（类）20767.71万元，占98.43%。</w:t>
      </w:r>
    </w:p>
    <w:p w14:paraId="22E531E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2"/>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（三）一般公共预算财政拨款支出决算具体情况</w:t>
      </w:r>
    </w:p>
    <w:p w14:paraId="7FAE671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1、科学技术支出（类）科技条件与服务（款）其他科技条件与服务支出（项）：支出决算数为30.00万元，比上年决算增加30.00万元，增长100.00%，主要原因是：</w:t>
      </w:r>
      <w:r>
        <w:rPr>
          <w:rFonts w:hint="default" w:ascii="Times New Roman" w:hAnsi="Times New Roman" w:eastAsia="方正仿宋_GBK" w:cs="Times New Roman"/>
          <w:b w:val="0"/>
          <w:sz w:val="32"/>
          <w:szCs w:val="32"/>
          <w:lang w:val="en-US" w:eastAsia="zh-CN"/>
        </w:rPr>
        <w:t>本年度新增乌鲁木齐经济技术开发区（乌鲁木齐市头屯河区）数字化城市管理信息采集服务外包项目。</w:t>
      </w:r>
    </w:p>
    <w:p w14:paraId="3127DB2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lang w:val="en-US" w:eastAsia="zh-CN"/>
        </w:rPr>
      </w:pPr>
      <w:r>
        <w:rPr>
          <w:rFonts w:hint="default" w:ascii="Times New Roman" w:hAnsi="Times New Roman" w:eastAsia="方正仿宋_GBK" w:cs="Times New Roman"/>
          <w:b w:val="0"/>
          <w:sz w:val="32"/>
          <w:szCs w:val="32"/>
        </w:rPr>
        <w:t>2、社会保障和就业支出（类）行政事业单位养老支出（款）行政单位离退休（项）：支出决算数为0.46万元，比上年决算增加0.46万元，增长100.00%，主要原因是：</w:t>
      </w:r>
      <w:r>
        <w:rPr>
          <w:rFonts w:hint="default" w:ascii="Times New Roman" w:hAnsi="Times New Roman" w:eastAsia="方正仿宋_GBK" w:cs="Times New Roman"/>
          <w:b w:val="0"/>
          <w:sz w:val="32"/>
          <w:szCs w:val="32"/>
          <w:lang w:val="en-US" w:eastAsia="zh-CN"/>
        </w:rPr>
        <w:t>本年度新增退休人员。</w:t>
      </w:r>
    </w:p>
    <w:p w14:paraId="2FC889C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lang w:val="en-US" w:eastAsia="zh-CN"/>
        </w:rPr>
      </w:pPr>
      <w:r>
        <w:rPr>
          <w:rFonts w:hint="default" w:ascii="Times New Roman" w:hAnsi="Times New Roman" w:eastAsia="方正仿宋_GBK" w:cs="Times New Roman"/>
          <w:b w:val="0"/>
          <w:sz w:val="32"/>
          <w:szCs w:val="32"/>
        </w:rPr>
        <w:t>3、社会保障和就业支出（类）行政事业单位养老支出（款）机关事业单位基本养老保险缴费支出（项）：支出决算数为143.35万元，比上年决算增加81.99万元，增长133.62%，主要原因是：</w:t>
      </w:r>
      <w:r>
        <w:rPr>
          <w:rFonts w:hint="default" w:ascii="Times New Roman" w:hAnsi="Times New Roman" w:eastAsia="方正仿宋_GBK" w:cs="Times New Roman"/>
          <w:b w:val="0"/>
          <w:sz w:val="32"/>
          <w:szCs w:val="32"/>
          <w:lang w:val="en-US" w:eastAsia="zh-CN"/>
        </w:rPr>
        <w:t>本年度新增8人。</w:t>
      </w:r>
    </w:p>
    <w:p w14:paraId="5CD3A01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4、社会保障和就业支出（类）行政事业单位养老支出（款）机关事业单位职业年金缴费支出（项）：支出决算数为0.00万元，比上年决算减少33.14万元，下降100.00%，主要原因是：</w:t>
      </w:r>
      <w:r>
        <w:rPr>
          <w:rFonts w:hint="default" w:ascii="Times New Roman" w:hAnsi="Times New Roman" w:eastAsia="方正仿宋_GBK" w:cs="Times New Roman"/>
          <w:b w:val="0"/>
          <w:sz w:val="32"/>
          <w:szCs w:val="32"/>
          <w:lang w:val="en-US" w:eastAsia="zh-CN"/>
        </w:rPr>
        <w:t>本年度新增8人。</w:t>
      </w:r>
    </w:p>
    <w:p w14:paraId="79F1288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lang w:val="en-US" w:eastAsia="zh-CN"/>
        </w:rPr>
      </w:pPr>
      <w:r>
        <w:rPr>
          <w:rFonts w:hint="default" w:ascii="Times New Roman" w:hAnsi="Times New Roman" w:eastAsia="方正仿宋_GBK" w:cs="Times New Roman"/>
          <w:b w:val="0"/>
          <w:sz w:val="32"/>
          <w:szCs w:val="32"/>
        </w:rPr>
        <w:t>5、节能环保支出（类）污染防治（款）大气（项）：支出决算数为158.42万元，比上年决算增加158.42万元，增长100.00%，主要原因是：</w:t>
      </w:r>
      <w:r>
        <w:rPr>
          <w:rFonts w:hint="default" w:ascii="Times New Roman" w:hAnsi="Times New Roman" w:eastAsia="方正仿宋_GBK" w:cs="Times New Roman"/>
          <w:b w:val="0"/>
          <w:sz w:val="32"/>
          <w:szCs w:val="32"/>
          <w:lang w:val="en-US" w:eastAsia="zh-CN"/>
        </w:rPr>
        <w:t>本年度支付煤改气专项债项目。</w:t>
      </w:r>
    </w:p>
    <w:p w14:paraId="68DA4E4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lang w:val="en-US" w:eastAsia="zh-CN"/>
        </w:rPr>
      </w:pPr>
      <w:r>
        <w:rPr>
          <w:rFonts w:hint="default" w:ascii="Times New Roman" w:hAnsi="Times New Roman" w:eastAsia="方正仿宋_GBK" w:cs="Times New Roman"/>
          <w:b w:val="0"/>
          <w:sz w:val="32"/>
          <w:szCs w:val="32"/>
        </w:rPr>
        <w:t>6、城乡社区支出（类）城乡社区管理事务（款）行政运行（项）：支出决算数为360.31万元，比上年决算增加29.88万元，增长9.04%，主要原因是：</w:t>
      </w:r>
      <w:r>
        <w:rPr>
          <w:rFonts w:hint="default" w:ascii="Times New Roman" w:hAnsi="Times New Roman" w:eastAsia="方正仿宋_GBK" w:cs="Times New Roman"/>
          <w:b w:val="0"/>
          <w:sz w:val="32"/>
          <w:szCs w:val="32"/>
          <w:lang w:val="en-US" w:eastAsia="zh-CN"/>
        </w:rPr>
        <w:t>本年度支付历年欠款数字化城市管理信息采集服务外包项目。</w:t>
      </w:r>
    </w:p>
    <w:p w14:paraId="6F0CAC2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7、城乡社区支出（类）城乡社区管理事务（款）机关服务（项）：支出决算数为885.97万元，比上年决算增加54.25万元，增长6.52%，主要原因是：</w:t>
      </w:r>
      <w:r>
        <w:rPr>
          <w:rFonts w:hint="default" w:ascii="Times New Roman" w:hAnsi="Times New Roman" w:eastAsia="方正仿宋_GBK" w:cs="Times New Roman"/>
          <w:b w:val="0"/>
          <w:sz w:val="32"/>
          <w:szCs w:val="32"/>
          <w:lang w:val="en-US" w:eastAsia="zh-CN"/>
        </w:rPr>
        <w:t>本年度支付历年欠款追加本级盘活国企闲置资产（建发）项目。</w:t>
      </w:r>
    </w:p>
    <w:p w14:paraId="4FA3B19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8、城乡社区支出（类）城乡社区管理事务（款）城管执法（项）：支出决算数为87.72万元，比上年决算增加87.72万元，增长100.00%，主要原因是：</w:t>
      </w:r>
      <w:r>
        <w:rPr>
          <w:rFonts w:hint="default" w:ascii="Times New Roman" w:hAnsi="Times New Roman" w:eastAsia="方正仿宋_GBK" w:cs="Times New Roman"/>
          <w:b w:val="0"/>
          <w:sz w:val="32"/>
          <w:szCs w:val="32"/>
          <w:lang w:val="en-US" w:eastAsia="zh-CN"/>
        </w:rPr>
        <w:t>本年度支付历年欠款城市运行管理中心设备采购及安装运行项目。</w:t>
      </w:r>
    </w:p>
    <w:p w14:paraId="4A1AAA1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9、城乡社区支出（类）城乡社区管理事务（款）市政公用行业市场监管（项）：支出决算数为35.46万元，比上年决算增加35.46万元，增长100.00%，主要原因是：</w:t>
      </w:r>
      <w:r>
        <w:rPr>
          <w:rFonts w:hint="default" w:ascii="Times New Roman" w:hAnsi="Times New Roman" w:eastAsia="方正仿宋_GBK" w:cs="Times New Roman"/>
          <w:b w:val="0"/>
          <w:sz w:val="32"/>
          <w:szCs w:val="32"/>
          <w:lang w:val="en-US" w:eastAsia="zh-CN"/>
        </w:rPr>
        <w:t>本年度支付历年欠款数字化城市管理信息采集服务外包项目。</w:t>
      </w:r>
    </w:p>
    <w:p w14:paraId="1121276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lang w:val="en-US" w:eastAsia="zh-CN"/>
        </w:rPr>
      </w:pPr>
      <w:r>
        <w:rPr>
          <w:rFonts w:hint="default" w:ascii="Times New Roman" w:hAnsi="Times New Roman" w:eastAsia="方正仿宋_GBK" w:cs="Times New Roman"/>
          <w:b w:val="0"/>
          <w:sz w:val="32"/>
          <w:szCs w:val="32"/>
        </w:rPr>
        <w:t>10、城乡社区支出（类）城乡社区公共设施（款）小城镇基础设施建设（项）：支出决算数为6032.19万元，比上年决算增加6032.19万元，增长100.00%，主要原因是：</w:t>
      </w:r>
      <w:r>
        <w:rPr>
          <w:rFonts w:hint="default" w:ascii="Times New Roman" w:hAnsi="Times New Roman" w:eastAsia="方正仿宋_GBK" w:cs="Times New Roman"/>
          <w:b w:val="0"/>
          <w:sz w:val="32"/>
          <w:szCs w:val="32"/>
          <w:lang w:val="en-US" w:eastAsia="zh-CN"/>
        </w:rPr>
        <w:t>本年度支付历年欠款</w:t>
      </w:r>
      <w:r>
        <w:rPr>
          <w:rFonts w:hint="default" w:ascii="Times New Roman" w:hAnsi="Times New Roman" w:eastAsia="方正仿宋_GBK" w:cs="Times New Roman"/>
          <w:b w:val="0"/>
          <w:sz w:val="32"/>
          <w:szCs w:val="32"/>
        </w:rPr>
        <w:t>2018年“靓化工程”街道整治工程二标-上海路施工</w:t>
      </w:r>
      <w:r>
        <w:rPr>
          <w:rFonts w:hint="default" w:ascii="Times New Roman" w:hAnsi="Times New Roman" w:eastAsia="方正仿宋_GBK" w:cs="Times New Roman"/>
          <w:b w:val="0"/>
          <w:sz w:val="32"/>
          <w:szCs w:val="32"/>
          <w:lang w:eastAsia="zh-CN"/>
        </w:rPr>
        <w:t>、2021年道路塌陷探测项目（施工）、小绿谷公园周边区域景观及照明项目（监理）</w:t>
      </w:r>
      <w:r>
        <w:rPr>
          <w:rFonts w:hint="default" w:ascii="Times New Roman" w:hAnsi="Times New Roman" w:eastAsia="方正仿宋_GBK" w:cs="Times New Roman"/>
          <w:b w:val="0"/>
          <w:sz w:val="32"/>
          <w:szCs w:val="32"/>
          <w:lang w:val="en-US" w:eastAsia="zh-CN"/>
        </w:rPr>
        <w:t>等。</w:t>
      </w:r>
    </w:p>
    <w:p w14:paraId="7EA1323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lang w:val="en-US" w:eastAsia="zh-CN"/>
        </w:rPr>
      </w:pPr>
      <w:r>
        <w:rPr>
          <w:rFonts w:hint="default" w:ascii="Times New Roman" w:hAnsi="Times New Roman" w:eastAsia="方正仿宋_GBK" w:cs="Times New Roman"/>
          <w:b w:val="0"/>
          <w:sz w:val="32"/>
          <w:szCs w:val="32"/>
        </w:rPr>
        <w:t>11、城乡社区支出（类）城乡社区环境卫生（款）城乡社区环境卫生（项）：支出决算数为13267.57万元，比上年决算增加13265.94万元，增长813861.35%，主要原因是：</w:t>
      </w:r>
      <w:r>
        <w:rPr>
          <w:rFonts w:hint="default" w:ascii="Times New Roman" w:hAnsi="Times New Roman" w:eastAsia="方正仿宋_GBK" w:cs="Times New Roman"/>
          <w:b w:val="0"/>
          <w:sz w:val="32"/>
          <w:szCs w:val="32"/>
          <w:lang w:val="en-US" w:eastAsia="zh-CN"/>
        </w:rPr>
        <w:t>本年度支付历年欠款合同外环整、</w:t>
      </w:r>
      <w:r>
        <w:rPr>
          <w:rFonts w:hint="default" w:ascii="Times New Roman" w:hAnsi="Times New Roman" w:eastAsia="方正仿宋_GBK" w:cs="Times New Roman"/>
          <w:b w:val="0"/>
          <w:sz w:val="32"/>
          <w:szCs w:val="32"/>
        </w:rPr>
        <w:t>环卫保洁外包服务</w:t>
      </w:r>
      <w:r>
        <w:rPr>
          <w:rFonts w:hint="default" w:ascii="Times New Roman" w:hAnsi="Times New Roman" w:eastAsia="方正仿宋_GBK" w:cs="Times New Roman"/>
          <w:b w:val="0"/>
          <w:sz w:val="32"/>
          <w:szCs w:val="32"/>
          <w:lang w:eastAsia="zh-CN"/>
        </w:rPr>
        <w:t>、“靓化工程”示范街区整治项目（中亚北路）二标段</w:t>
      </w:r>
      <w:r>
        <w:rPr>
          <w:rFonts w:hint="default" w:ascii="Times New Roman" w:hAnsi="Times New Roman" w:eastAsia="方正仿宋_GBK" w:cs="Times New Roman"/>
          <w:b w:val="0"/>
          <w:sz w:val="32"/>
          <w:szCs w:val="32"/>
          <w:lang w:val="en-US" w:eastAsia="zh-CN"/>
        </w:rPr>
        <w:t>等项目。</w:t>
      </w:r>
    </w:p>
    <w:p w14:paraId="5926AE6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lang w:val="en-US" w:eastAsia="zh-CN"/>
        </w:rPr>
      </w:pPr>
      <w:r>
        <w:rPr>
          <w:rFonts w:hint="default" w:ascii="Times New Roman" w:hAnsi="Times New Roman" w:eastAsia="方正仿宋_GBK" w:cs="Times New Roman"/>
          <w:b w:val="0"/>
          <w:sz w:val="32"/>
          <w:szCs w:val="32"/>
        </w:rPr>
        <w:t>12、城乡社区支出（类）其他城乡社区支出（款）其他城乡社区支出（项）：支出决算数为98.49万元，比上年决算增加98.49万元，增长100.00%，主要原因是：</w:t>
      </w:r>
      <w:r>
        <w:rPr>
          <w:rFonts w:hint="default" w:ascii="Times New Roman" w:hAnsi="Times New Roman" w:eastAsia="方正仿宋_GBK" w:cs="Times New Roman"/>
          <w:b w:val="0"/>
          <w:sz w:val="32"/>
          <w:szCs w:val="32"/>
          <w:lang w:val="en-US" w:eastAsia="zh-CN"/>
        </w:rPr>
        <w:t>本年度支付历年欠款</w:t>
      </w:r>
      <w:r>
        <w:rPr>
          <w:rFonts w:hint="default" w:ascii="Times New Roman" w:hAnsi="Times New Roman" w:eastAsia="方正仿宋_GBK" w:cs="Times New Roman"/>
          <w:b w:val="0"/>
          <w:sz w:val="32"/>
          <w:szCs w:val="32"/>
        </w:rPr>
        <w:t>市政设施养维护项目（一标段）养维护</w:t>
      </w:r>
      <w:r>
        <w:rPr>
          <w:rFonts w:hint="default" w:ascii="Times New Roman" w:hAnsi="Times New Roman" w:eastAsia="方正仿宋_GBK" w:cs="Times New Roman"/>
          <w:b w:val="0"/>
          <w:sz w:val="32"/>
          <w:szCs w:val="32"/>
          <w:lang w:val="en-US" w:eastAsia="zh-CN"/>
        </w:rPr>
        <w:t>项目、公共空间户外广告详细规划项目等。</w:t>
      </w:r>
    </w:p>
    <w:p w14:paraId="763BFDF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六、一般公共预算财政拨款基本支出决算情况说明</w:t>
      </w:r>
    </w:p>
    <w:p w14:paraId="1C2BEC2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2024年度一般公共预算财政拨款基本支出1390.09万元，其中：人员经费1304.21万元，包括：基本工资、津贴补贴、奖金、绩效工资、机关事业单位基本养老保险缴费、职工基本医疗保险缴费、公务员医疗补助缴费、其他社会保障缴费、住房公积金、其他工资福利支出、退休费和奖励金。</w:t>
      </w:r>
    </w:p>
    <w:p w14:paraId="6C4CEED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公用经费85.88万元，包括：办公费、邮电费、差旅费、培训费、委托业务费、工会经费、福利费、公务用车运行维护费、其他交通费用和办公设备购置。</w:t>
      </w:r>
    </w:p>
    <w:p w14:paraId="489D901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七、政府性基金预算财政拨款收入支出决算情况说明</w:t>
      </w:r>
    </w:p>
    <w:p w14:paraId="6F772AB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2024年度政府性基金预算财政拨款收入总计4986.82万元，其中：年初结转和结余0.00万元，本年收入4986.82万元。政府性基金预算财政拨款支出总计4986.82万元，其中：年末结转和结余0.00万元，本年支出4986.82万元。</w:t>
      </w:r>
    </w:p>
    <w:p w14:paraId="05B76C1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政府性基金预算财政拨款收入支出总体与上年相比，减少2180.39万元，下降30.42%，主要原因是：</w:t>
      </w:r>
      <w:r>
        <w:rPr>
          <w:rFonts w:hint="default" w:ascii="Times New Roman" w:hAnsi="Times New Roman" w:eastAsia="方正仿宋_GBK" w:cs="Times New Roman"/>
          <w:b w:val="0"/>
          <w:sz w:val="32"/>
          <w:szCs w:val="32"/>
          <w:lang w:val="en-US" w:eastAsia="zh-CN"/>
        </w:rPr>
        <w:t>本年度减少停车场专项债项目</w:t>
      </w:r>
      <w:r>
        <w:rPr>
          <w:rFonts w:hint="default" w:ascii="Times New Roman" w:hAnsi="Times New Roman" w:eastAsia="方正仿宋_GBK" w:cs="Times New Roman"/>
          <w:b w:val="0"/>
          <w:sz w:val="32"/>
          <w:szCs w:val="32"/>
        </w:rPr>
        <w:t>。与年初预算相比，年初预算数4932.79万元，决算数4986.82万元，预决算差异率1.10%，主要原因是：</w:t>
      </w:r>
      <w:r>
        <w:rPr>
          <w:rFonts w:hint="default" w:ascii="Times New Roman" w:hAnsi="Times New Roman" w:eastAsia="方正仿宋_GBK" w:cs="Times New Roman"/>
          <w:b w:val="0"/>
          <w:sz w:val="32"/>
          <w:szCs w:val="32"/>
          <w:lang w:val="en-US" w:eastAsia="zh-CN"/>
        </w:rPr>
        <w:t>本年度支付</w:t>
      </w:r>
      <w:r>
        <w:rPr>
          <w:rFonts w:hint="default" w:ascii="Times New Roman" w:hAnsi="Times New Roman" w:eastAsia="方正仿宋_GBK" w:cs="Times New Roman"/>
          <w:b w:val="0"/>
          <w:sz w:val="32"/>
          <w:szCs w:val="32"/>
        </w:rPr>
        <w:t>2024年超长期特别国债【加快重点地区和城市平战结合建设领域城市地下管网建设改造方向】支出。</w:t>
      </w:r>
    </w:p>
    <w:p w14:paraId="778FEA7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政府性基金预算财政拨款支出4986.82万元。</w:t>
      </w:r>
    </w:p>
    <w:p w14:paraId="20C2C0A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lang w:val="en-US" w:eastAsia="zh-CN"/>
        </w:rPr>
      </w:pPr>
      <w:r>
        <w:rPr>
          <w:rFonts w:hint="default" w:ascii="Times New Roman" w:hAnsi="Times New Roman" w:eastAsia="方正仿宋_GBK" w:cs="Times New Roman"/>
          <w:b w:val="0"/>
          <w:sz w:val="32"/>
          <w:szCs w:val="32"/>
        </w:rPr>
        <w:t>1、城乡社区支出（类）城市基础设施配套费安排的支出（款）城市公共设施（项）：支出决算数为9.79万元，比上年决算增加9.79万元，增长100.00%，主要原因是：</w:t>
      </w:r>
      <w:r>
        <w:rPr>
          <w:rFonts w:hint="eastAsia" w:ascii="Times New Roman" w:hAnsi="Times New Roman" w:eastAsia="方正仿宋_GBK" w:cs="Times New Roman"/>
          <w:b w:val="0"/>
          <w:sz w:val="32"/>
          <w:szCs w:val="32"/>
          <w:lang w:val="en-US" w:eastAsia="zh-CN"/>
        </w:rPr>
        <w:t>本年度新增上级补助氛围营造项目。</w:t>
      </w:r>
    </w:p>
    <w:p w14:paraId="41D8D7C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lang w:val="en-US" w:eastAsia="zh-CN"/>
        </w:rPr>
      </w:pPr>
      <w:r>
        <w:rPr>
          <w:rFonts w:hint="default" w:ascii="Times New Roman" w:hAnsi="Times New Roman" w:eastAsia="方正仿宋_GBK" w:cs="Times New Roman"/>
          <w:b w:val="0"/>
          <w:sz w:val="32"/>
          <w:szCs w:val="32"/>
        </w:rPr>
        <w:t>2、城乡社区支出（类）城市基础设施配套费安排的支出（款）其他城市基础设施配套费安排的支出（项）：支出决算数为0.00万元，比上年决算减少0.21万元，下降100.00%，主要原因是：</w:t>
      </w:r>
      <w:r>
        <w:rPr>
          <w:rFonts w:hint="default" w:ascii="Times New Roman" w:hAnsi="Times New Roman" w:eastAsia="方正仿宋_GBK" w:cs="Times New Roman"/>
          <w:b w:val="0"/>
          <w:sz w:val="32"/>
          <w:szCs w:val="32"/>
          <w:lang w:val="en-US" w:eastAsia="zh-CN"/>
        </w:rPr>
        <w:t>本年年度未支付2023年春节氛围营造工作资金项目。</w:t>
      </w:r>
    </w:p>
    <w:p w14:paraId="0416F63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lang w:eastAsia="zh-CN"/>
        </w:rPr>
      </w:pPr>
      <w:r>
        <w:rPr>
          <w:rFonts w:hint="default" w:ascii="Times New Roman" w:hAnsi="Times New Roman" w:eastAsia="方正仿宋_GBK" w:cs="Times New Roman"/>
          <w:b w:val="0"/>
          <w:sz w:val="32"/>
          <w:szCs w:val="32"/>
        </w:rPr>
        <w:t>3、城乡社区支出（类）超长期特别国债安排的支出（款）城乡社区公共设施（项）：支出决算数为54.03万元，比上年决算增加54.03万元，增长100.00%，主要原因是：</w:t>
      </w:r>
      <w:r>
        <w:rPr>
          <w:rFonts w:hint="default" w:ascii="Times New Roman" w:hAnsi="Times New Roman" w:eastAsia="方正仿宋_GBK" w:cs="Times New Roman"/>
          <w:b w:val="0"/>
          <w:sz w:val="32"/>
          <w:szCs w:val="32"/>
          <w:lang w:val="en-US" w:eastAsia="zh-CN"/>
        </w:rPr>
        <w:t>本年度支付</w:t>
      </w:r>
      <w:r>
        <w:rPr>
          <w:rFonts w:hint="default" w:ascii="Times New Roman" w:hAnsi="Times New Roman" w:eastAsia="方正仿宋_GBK" w:cs="Times New Roman"/>
          <w:b w:val="0"/>
          <w:sz w:val="32"/>
          <w:szCs w:val="32"/>
        </w:rPr>
        <w:t>2024年超长期特别国债【加快重点地区和城市平战结合建设领域城市地下管网建设改造方向】支出</w:t>
      </w:r>
      <w:r>
        <w:rPr>
          <w:rFonts w:hint="default" w:ascii="Times New Roman" w:hAnsi="Times New Roman" w:eastAsia="方正仿宋_GBK" w:cs="Times New Roman"/>
          <w:b w:val="0"/>
          <w:sz w:val="32"/>
          <w:szCs w:val="32"/>
          <w:lang w:eastAsia="zh-CN"/>
        </w:rPr>
        <w:t>。</w:t>
      </w:r>
    </w:p>
    <w:p w14:paraId="26D471A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lang w:val="en-US" w:eastAsia="zh-CN"/>
        </w:rPr>
      </w:pPr>
      <w:r>
        <w:rPr>
          <w:rFonts w:hint="default" w:ascii="Times New Roman" w:hAnsi="Times New Roman" w:eastAsia="方正仿宋_GBK" w:cs="Times New Roman"/>
          <w:b w:val="0"/>
          <w:sz w:val="32"/>
          <w:szCs w:val="32"/>
        </w:rPr>
        <w:t>4、其他支出（类）其他政府性基金及对应专项债务收入安排的支出（款）其他地方自行试点项目收益专项债券收入安排的支出（项）：支出决算数为4923.00万元，比上年决算减少2244.00万元，下降31.31%，主要原因是：</w:t>
      </w:r>
      <w:r>
        <w:rPr>
          <w:rFonts w:hint="default" w:ascii="Times New Roman" w:hAnsi="Times New Roman" w:eastAsia="方正仿宋_GBK" w:cs="Times New Roman"/>
          <w:b w:val="0"/>
          <w:sz w:val="32"/>
          <w:szCs w:val="32"/>
          <w:lang w:val="en-US" w:eastAsia="zh-CN"/>
        </w:rPr>
        <w:t>本年度减少停车场改建专项债项目。</w:t>
      </w:r>
    </w:p>
    <w:p w14:paraId="01ADD95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八、国有资本经营预算财政拨款收入支出决算情况说明</w:t>
      </w:r>
    </w:p>
    <w:p w14:paraId="49E072E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本单位本年度无国有资本经营预算财政拨款收入、支出及结转和结余，国有资本经营预算财政拨款收入支出决算表为空表。</w:t>
      </w:r>
    </w:p>
    <w:p w14:paraId="039477E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九、财政拨款“三公”经费支出决算情况说明</w:t>
      </w:r>
    </w:p>
    <w:p w14:paraId="77955DB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2024年度财政拨款“三公”经费支出7.81万元，比上年减少6.31万元，下降44.69%，主要原因是：</w:t>
      </w:r>
      <w:r>
        <w:rPr>
          <w:rFonts w:hint="default" w:ascii="Times New Roman" w:hAnsi="Times New Roman" w:eastAsia="方正仿宋_GBK" w:cs="Times New Roman"/>
          <w:b w:val="0"/>
          <w:sz w:val="32"/>
          <w:szCs w:val="32"/>
          <w:lang w:val="en-US" w:eastAsia="zh-CN"/>
        </w:rPr>
        <w:t>本年度节约开支减少油费支出</w:t>
      </w:r>
      <w:r>
        <w:rPr>
          <w:rFonts w:hint="default" w:ascii="Times New Roman" w:hAnsi="Times New Roman" w:eastAsia="方正仿宋_GBK" w:cs="Times New Roman"/>
          <w:b w:val="0"/>
          <w:sz w:val="32"/>
          <w:szCs w:val="32"/>
        </w:rPr>
        <w:t>。其中：因公出国（境）费支出0.00万元占0.00%，与上年相比无变化，主要原因是：；公务用车购置及运行维护费支出7.81万元，占100.00%，比上年减少6.31万元，下降44.69%，主要原因是：</w:t>
      </w:r>
      <w:r>
        <w:rPr>
          <w:rFonts w:hint="default" w:ascii="Times New Roman" w:hAnsi="Times New Roman" w:eastAsia="方正仿宋_GBK" w:cs="Times New Roman"/>
          <w:b w:val="0"/>
          <w:sz w:val="32"/>
          <w:szCs w:val="32"/>
          <w:lang w:val="en-US" w:eastAsia="zh-CN"/>
        </w:rPr>
        <w:t>本年度厉行勤俭节约减少油费支出</w:t>
      </w:r>
      <w:r>
        <w:rPr>
          <w:rFonts w:hint="default" w:ascii="Times New Roman" w:hAnsi="Times New Roman" w:eastAsia="方正仿宋_GBK" w:cs="Times New Roman"/>
          <w:b w:val="0"/>
          <w:sz w:val="32"/>
          <w:szCs w:val="32"/>
        </w:rPr>
        <w:t>；公务接待费支出0.00万元，占0.00%，与上年相比无变化，主要原因是：</w:t>
      </w:r>
      <w:r>
        <w:rPr>
          <w:rFonts w:hint="default" w:ascii="Times New Roman" w:hAnsi="Times New Roman" w:eastAsia="方正仿宋_GBK" w:cs="Times New Roman"/>
          <w:b w:val="0"/>
          <w:sz w:val="32"/>
          <w:szCs w:val="32"/>
          <w:lang w:val="en-US" w:eastAsia="zh-CN"/>
        </w:rPr>
        <w:t>本年度无公务接待支出</w:t>
      </w:r>
      <w:r>
        <w:rPr>
          <w:rFonts w:hint="default" w:ascii="Times New Roman" w:hAnsi="Times New Roman" w:eastAsia="方正仿宋_GBK" w:cs="Times New Roman"/>
          <w:b w:val="0"/>
          <w:sz w:val="32"/>
          <w:szCs w:val="32"/>
        </w:rPr>
        <w:t>。</w:t>
      </w:r>
    </w:p>
    <w:p w14:paraId="126909F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具体情况如下：</w:t>
      </w:r>
    </w:p>
    <w:p w14:paraId="3EAB90C4">
      <w:pPr>
        <w:pStyle w:val="2"/>
        <w:ind w:firstLine="640" w:firstLineChars="200"/>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因公出国（境）费支出0.00万元，</w:t>
      </w:r>
      <w:r>
        <w:rPr>
          <w:rFonts w:hint="eastAsia" w:ascii="Times New Roman" w:hAnsi="Times New Roman" w:eastAsia="方正仿宋_GBK" w:cs="Times New Roman"/>
          <w:b w:val="0"/>
          <w:sz w:val="32"/>
          <w:szCs w:val="32"/>
          <w:lang w:eastAsia="zh-CN"/>
        </w:rPr>
        <w:t>开支内容包括</w:t>
      </w:r>
      <w:r>
        <w:rPr>
          <w:rFonts w:hint="eastAsia" w:ascii="Times New Roman" w:hAnsi="Times New Roman" w:eastAsia="方正仿宋_GBK" w:cs="Times New Roman"/>
          <w:b w:val="0"/>
          <w:sz w:val="32"/>
          <w:szCs w:val="32"/>
          <w:lang w:val="en-US" w:eastAsia="zh-CN"/>
        </w:rPr>
        <w:t>2024年度无</w:t>
      </w:r>
      <w:r>
        <w:rPr>
          <w:rFonts w:hint="default" w:ascii="Times New Roman" w:hAnsi="Times New Roman" w:eastAsia="方正仿宋_GBK" w:cs="Times New Roman"/>
          <w:b w:val="0"/>
          <w:sz w:val="32"/>
          <w:szCs w:val="32"/>
        </w:rPr>
        <w:t>因公出国（境）费</w:t>
      </w:r>
      <w:r>
        <w:rPr>
          <w:rFonts w:hint="eastAsia" w:ascii="Times New Roman" w:hAnsi="Times New Roman" w:eastAsia="方正仿宋_GBK" w:cs="Times New Roman"/>
          <w:b w:val="0"/>
          <w:sz w:val="32"/>
          <w:szCs w:val="32"/>
          <w:lang w:val="en-US" w:eastAsia="zh-CN"/>
        </w:rPr>
        <w:t>用</w:t>
      </w:r>
      <w:r>
        <w:rPr>
          <w:rFonts w:hint="default" w:ascii="Times New Roman" w:hAnsi="Times New Roman" w:eastAsia="方正仿宋_GBK" w:cs="Times New Roman"/>
          <w:b w:val="0"/>
          <w:sz w:val="32"/>
          <w:szCs w:val="32"/>
        </w:rPr>
        <w:t>。单位全年安排的因公出国（境）团组0个，因公出国（境）0人次。</w:t>
      </w:r>
    </w:p>
    <w:p w14:paraId="1FD8A583">
      <w:pPr>
        <w:pStyle w:val="2"/>
        <w:ind w:firstLine="640" w:firstLineChars="200"/>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公务用车购置及运行维护费7.81万元，其中：公务用车购置费0.00万元，公务用车运行维护费7.81万元。公务用车运行维护费开支内容包括。公务用车购置数0辆，公务用车保有量13辆。国有资产占用情况中固定资产车辆13辆，与公务用车保有量差异原因是：</w:t>
      </w:r>
      <w:r>
        <w:rPr>
          <w:rFonts w:hint="default" w:ascii="Times New Roman" w:hAnsi="Times New Roman" w:eastAsia="方正仿宋_GBK" w:cs="Times New Roman"/>
          <w:b w:val="0"/>
          <w:sz w:val="32"/>
          <w:szCs w:val="32"/>
          <w:lang w:val="en-US" w:eastAsia="zh-CN"/>
        </w:rPr>
        <w:t>本年度公务车保有量无差异</w:t>
      </w:r>
      <w:r>
        <w:rPr>
          <w:rFonts w:hint="default" w:ascii="Times New Roman" w:hAnsi="Times New Roman" w:eastAsia="方正仿宋_GBK" w:cs="Times New Roman"/>
          <w:b w:val="0"/>
          <w:sz w:val="32"/>
          <w:szCs w:val="32"/>
        </w:rPr>
        <w:t>。</w:t>
      </w:r>
    </w:p>
    <w:p w14:paraId="04D2A296">
      <w:pPr>
        <w:pStyle w:val="2"/>
        <w:ind w:firstLine="640" w:firstLineChars="200"/>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公务接待费0.00万元，</w:t>
      </w:r>
      <w:r>
        <w:rPr>
          <w:rFonts w:hint="eastAsia" w:ascii="Times New Roman" w:hAnsi="Times New Roman" w:eastAsia="方正仿宋_GBK" w:cs="Times New Roman"/>
          <w:b w:val="0"/>
          <w:sz w:val="32"/>
          <w:szCs w:val="32"/>
          <w:lang w:eastAsia="zh-CN"/>
        </w:rPr>
        <w:t>开支内容包括</w:t>
      </w:r>
      <w:r>
        <w:rPr>
          <w:rFonts w:hint="eastAsia" w:ascii="Times New Roman" w:hAnsi="Times New Roman" w:eastAsia="方正仿宋_GBK" w:cs="Times New Roman"/>
          <w:b w:val="0"/>
          <w:sz w:val="32"/>
          <w:szCs w:val="32"/>
          <w:lang w:val="en-US" w:eastAsia="zh-CN"/>
        </w:rPr>
        <w:t>2024年度无</w:t>
      </w:r>
      <w:r>
        <w:rPr>
          <w:rFonts w:hint="default" w:ascii="Times New Roman" w:hAnsi="Times New Roman" w:eastAsia="方正仿宋_GBK" w:cs="Times New Roman"/>
          <w:b w:val="0"/>
          <w:sz w:val="32"/>
          <w:szCs w:val="32"/>
        </w:rPr>
        <w:t>公务接待费</w:t>
      </w:r>
      <w:r>
        <w:rPr>
          <w:rFonts w:hint="eastAsia" w:ascii="Times New Roman" w:hAnsi="Times New Roman" w:eastAsia="方正仿宋_GBK" w:cs="Times New Roman"/>
          <w:b w:val="0"/>
          <w:sz w:val="32"/>
          <w:szCs w:val="32"/>
          <w:lang w:val="en-US" w:eastAsia="zh-CN"/>
        </w:rPr>
        <w:t>费用</w:t>
      </w:r>
      <w:r>
        <w:rPr>
          <w:rFonts w:hint="default" w:ascii="Times New Roman" w:hAnsi="Times New Roman" w:eastAsia="方正仿宋_GBK" w:cs="Times New Roman"/>
          <w:b w:val="0"/>
          <w:sz w:val="32"/>
          <w:szCs w:val="32"/>
        </w:rPr>
        <w:t>。单位全年安排的国内公务接待0批次，0人次。</w:t>
      </w:r>
    </w:p>
    <w:p w14:paraId="62BF78B9">
      <w:pPr>
        <w:pStyle w:val="2"/>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与全年预算相比，财政拨款“三公”经费支出全年预算数8.10万元，决算数7.81万元，预决算差异率-3.58%，主要原因是：</w:t>
      </w:r>
      <w:r>
        <w:rPr>
          <w:rFonts w:hint="default" w:ascii="Times New Roman" w:hAnsi="Times New Roman" w:eastAsia="方正仿宋_GBK" w:cs="Times New Roman"/>
          <w:b w:val="0"/>
          <w:sz w:val="32"/>
          <w:szCs w:val="32"/>
          <w:lang w:val="en-US" w:eastAsia="zh-CN"/>
        </w:rPr>
        <w:t>本年度厉行勤俭节约减少开支</w:t>
      </w:r>
      <w:r>
        <w:rPr>
          <w:rFonts w:hint="default" w:ascii="Times New Roman" w:hAnsi="Times New Roman" w:eastAsia="方正仿宋_GBK" w:cs="Times New Roman"/>
          <w:b w:val="0"/>
          <w:sz w:val="32"/>
          <w:szCs w:val="32"/>
        </w:rPr>
        <w:t>。其中：因公出国（境）费全年预算数0.00万元，决算数0.00万元，预决算差异率0.00%，主要原因是：</w:t>
      </w:r>
      <w:r>
        <w:rPr>
          <w:rFonts w:hint="eastAsia" w:ascii="Times New Roman" w:hAnsi="Times New Roman" w:eastAsia="方正仿宋_GBK" w:cs="Times New Roman"/>
          <w:b w:val="0"/>
          <w:sz w:val="32"/>
          <w:szCs w:val="32"/>
          <w:lang w:val="en-US" w:eastAsia="zh-CN"/>
        </w:rPr>
        <w:t>严格按照年初预算执行</w:t>
      </w:r>
      <w:r>
        <w:rPr>
          <w:rFonts w:hint="default" w:ascii="Times New Roman" w:hAnsi="Times New Roman" w:eastAsia="方正仿宋_GBK" w:cs="Times New Roman"/>
          <w:b w:val="0"/>
          <w:sz w:val="32"/>
          <w:szCs w:val="32"/>
        </w:rPr>
        <w:t>；公务用车购置费全年预算数0.00万元，决算数0.00万元，预决算差异率0.00%，主要原因是：</w:t>
      </w:r>
      <w:r>
        <w:rPr>
          <w:rFonts w:hint="default" w:ascii="Times New Roman" w:hAnsi="Times New Roman" w:eastAsia="方正仿宋_GBK" w:cs="Times New Roman"/>
          <w:b w:val="0"/>
          <w:sz w:val="32"/>
          <w:szCs w:val="32"/>
          <w:lang w:val="en-US" w:eastAsia="zh-CN"/>
        </w:rPr>
        <w:t>本年度无差异</w:t>
      </w:r>
      <w:r>
        <w:rPr>
          <w:rFonts w:hint="default" w:ascii="Times New Roman" w:hAnsi="Times New Roman" w:eastAsia="方正仿宋_GBK" w:cs="Times New Roman"/>
          <w:b w:val="0"/>
          <w:sz w:val="32"/>
          <w:szCs w:val="32"/>
        </w:rPr>
        <w:t>；公务用车运行维护费全年预算数8.10万元，决算数7.81万元，预决算差异率-3.58%，主要原因是：</w:t>
      </w:r>
      <w:r>
        <w:rPr>
          <w:rFonts w:hint="default" w:ascii="Times New Roman" w:hAnsi="Times New Roman" w:eastAsia="方正仿宋_GBK" w:cs="Times New Roman"/>
          <w:b w:val="0"/>
          <w:sz w:val="32"/>
          <w:szCs w:val="32"/>
          <w:lang w:val="en-US" w:eastAsia="zh-CN"/>
        </w:rPr>
        <w:t>本年度厉行勤俭节约减少开支</w:t>
      </w:r>
      <w:r>
        <w:rPr>
          <w:rFonts w:hint="default" w:ascii="Times New Roman" w:hAnsi="Times New Roman" w:eastAsia="方正仿宋_GBK" w:cs="Times New Roman"/>
          <w:b w:val="0"/>
          <w:sz w:val="32"/>
          <w:szCs w:val="32"/>
        </w:rPr>
        <w:t>；公务接待费全年预算数0.00万元，决算数0.00万元，预决算差异率0.00%，主要原因是：</w:t>
      </w:r>
      <w:r>
        <w:rPr>
          <w:rFonts w:hint="default" w:ascii="Times New Roman" w:hAnsi="Times New Roman" w:eastAsia="方正仿宋_GBK" w:cs="Times New Roman"/>
          <w:b w:val="0"/>
          <w:sz w:val="32"/>
          <w:szCs w:val="32"/>
          <w:lang w:val="en-US" w:eastAsia="zh-CN"/>
        </w:rPr>
        <w:t>本年度无差异</w:t>
      </w:r>
      <w:r>
        <w:rPr>
          <w:rFonts w:hint="default" w:ascii="Times New Roman" w:hAnsi="Times New Roman" w:eastAsia="方正仿宋_GBK" w:cs="Times New Roman"/>
          <w:b w:val="0"/>
          <w:sz w:val="32"/>
          <w:szCs w:val="32"/>
        </w:rPr>
        <w:t>。</w:t>
      </w:r>
    </w:p>
    <w:p w14:paraId="396D515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十、其他重要事项的情况说明</w:t>
      </w:r>
    </w:p>
    <w:p w14:paraId="6DB6F81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2"/>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（一）机关运行经费及公用经费支出情况</w:t>
      </w:r>
    </w:p>
    <w:p w14:paraId="2D6525B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2024年度乌鲁木齐经济技术开发区（乌鲁木齐市头屯河区）城市管理局单位（行政单位和参照公务员法管理事业单位）机关运行经费支出85.88万元，比上年减少110.31万元，下降56.23%，主要原因是：</w:t>
      </w:r>
      <w:r>
        <w:rPr>
          <w:rFonts w:hint="default" w:ascii="Times New Roman" w:hAnsi="Times New Roman" w:eastAsia="方正仿宋_GBK" w:cs="Times New Roman"/>
          <w:b w:val="0"/>
          <w:sz w:val="32"/>
          <w:szCs w:val="32"/>
          <w:lang w:val="en-US" w:eastAsia="zh-CN"/>
        </w:rPr>
        <w:t>本年度厉行勤俭节约减少</w:t>
      </w:r>
      <w:r>
        <w:rPr>
          <w:rFonts w:hint="default" w:ascii="Times New Roman" w:hAnsi="Times New Roman" w:eastAsia="方正仿宋_GBK" w:cs="Times New Roman"/>
          <w:b w:val="0"/>
          <w:sz w:val="32"/>
          <w:szCs w:val="32"/>
        </w:rPr>
        <w:t>机关运行经费</w:t>
      </w:r>
      <w:r>
        <w:rPr>
          <w:rFonts w:hint="default" w:ascii="Times New Roman" w:hAnsi="Times New Roman" w:eastAsia="方正仿宋_GBK" w:cs="Times New Roman"/>
          <w:b w:val="0"/>
          <w:sz w:val="32"/>
          <w:szCs w:val="32"/>
          <w:lang w:val="en-US" w:eastAsia="zh-CN"/>
        </w:rPr>
        <w:t>开支</w:t>
      </w:r>
      <w:r>
        <w:rPr>
          <w:rFonts w:hint="default" w:ascii="Times New Roman" w:hAnsi="Times New Roman" w:eastAsia="方正仿宋_GBK" w:cs="Times New Roman"/>
          <w:b w:val="0"/>
          <w:sz w:val="32"/>
          <w:szCs w:val="32"/>
        </w:rPr>
        <w:t>。</w:t>
      </w:r>
    </w:p>
    <w:p w14:paraId="4458C78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2"/>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（二）政府采购情况</w:t>
      </w:r>
    </w:p>
    <w:p w14:paraId="6FCA6BA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2024年度政府采购支出总额8225.97万元，其中：政府采购货物支出1.26万元、政府采购工程支出482.54万元、政府采购服务支出7742.17万元。</w:t>
      </w:r>
    </w:p>
    <w:p w14:paraId="020001C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授予中小企业合同金额7796.03万元，占政府采购支出总额的94.77%，其中：授予小微企业合同金额6945.79万元，占政府采购支出总额的84.44%。</w:t>
      </w:r>
    </w:p>
    <w:p w14:paraId="236B891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2"/>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（三）国有资产占用情况说明</w:t>
      </w:r>
    </w:p>
    <w:p w14:paraId="7BA82D8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截至2024年12月31日，房屋0.00平方米，价值0.00万元。车辆13辆，价值180.45万元，其中：副部（省）级及以上领导用车0辆、主要负责人用车0辆、机要通信用车0辆、应急保障用车0辆、执法执勤用车11辆、特种专业技术用车0辆、离退休干部服务用车0辆、其他用车2辆，其他用车主要是：</w:t>
      </w:r>
      <w:r>
        <w:rPr>
          <w:rFonts w:hint="eastAsia" w:ascii="Times New Roman" w:hAnsi="Times New Roman" w:eastAsia="方正仿宋_GBK" w:cs="Times New Roman"/>
          <w:b w:val="0"/>
          <w:sz w:val="32"/>
          <w:szCs w:val="32"/>
          <w:lang w:val="en-US" w:eastAsia="zh-CN"/>
        </w:rPr>
        <w:t>0辆</w:t>
      </w:r>
      <w:r>
        <w:rPr>
          <w:rFonts w:hint="default" w:ascii="Times New Roman" w:hAnsi="Times New Roman" w:eastAsia="方正仿宋_GBK" w:cs="Times New Roman"/>
          <w:b w:val="0"/>
          <w:sz w:val="32"/>
          <w:szCs w:val="32"/>
        </w:rPr>
        <w:t>;单价100万元（含）以上设备（不含车辆）5台（套）。</w:t>
      </w:r>
    </w:p>
    <w:p w14:paraId="00CB1E3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十一、预算绩效的情况说明</w:t>
      </w:r>
    </w:p>
    <w:p w14:paraId="6047141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根据预算绩效管理要求，本单位2024年度预算绩效管理形成整体支出绩效自评表1个，全年预算总额8230.26万元，实际执行总额26092.03万元；预算绩效评价项目</w:t>
      </w:r>
      <w:r>
        <w:rPr>
          <w:rFonts w:hint="eastAsia" w:ascii="Times New Roman" w:hAnsi="Times New Roman" w:eastAsia="方正仿宋_GBK" w:cs="Times New Roman"/>
          <w:b w:val="0"/>
          <w:sz w:val="32"/>
          <w:szCs w:val="32"/>
          <w:lang w:val="en-US" w:eastAsia="zh-CN"/>
        </w:rPr>
        <w:t>2</w:t>
      </w:r>
      <w:r>
        <w:rPr>
          <w:rFonts w:hint="default" w:ascii="Times New Roman" w:hAnsi="Times New Roman" w:eastAsia="方正仿宋_GBK" w:cs="Times New Roman"/>
          <w:b w:val="0"/>
          <w:sz w:val="32"/>
          <w:szCs w:val="32"/>
        </w:rPr>
        <w:t>个，全年预算数</w:t>
      </w:r>
      <w:r>
        <w:rPr>
          <w:rFonts w:hint="eastAsia" w:ascii="Times New Roman" w:hAnsi="Times New Roman" w:eastAsia="方正仿宋_GBK" w:cs="Times New Roman"/>
          <w:b w:val="0"/>
          <w:sz w:val="32"/>
          <w:szCs w:val="32"/>
          <w:lang w:val="en-US" w:eastAsia="zh-CN"/>
        </w:rPr>
        <w:t>1301.12</w:t>
      </w:r>
      <w:r>
        <w:rPr>
          <w:rFonts w:hint="default" w:ascii="Times New Roman" w:hAnsi="Times New Roman" w:eastAsia="方正仿宋_GBK" w:cs="Times New Roman"/>
          <w:b w:val="0"/>
          <w:sz w:val="32"/>
          <w:szCs w:val="32"/>
        </w:rPr>
        <w:t>万元，全年执行数</w:t>
      </w:r>
      <w:r>
        <w:rPr>
          <w:rFonts w:hint="eastAsia" w:ascii="Times New Roman" w:hAnsi="Times New Roman" w:eastAsia="方正仿宋_GBK" w:cs="Times New Roman"/>
          <w:b w:val="0"/>
          <w:sz w:val="32"/>
          <w:szCs w:val="32"/>
          <w:lang w:val="en-US" w:eastAsia="zh-CN"/>
        </w:rPr>
        <w:t>1139.57</w:t>
      </w:r>
      <w:r>
        <w:rPr>
          <w:rFonts w:hint="default" w:ascii="Times New Roman" w:hAnsi="Times New Roman" w:eastAsia="方正仿宋_GBK" w:cs="Times New Roman"/>
          <w:b w:val="0"/>
          <w:sz w:val="32"/>
          <w:szCs w:val="32"/>
        </w:rPr>
        <w:t>万元。预算绩效管理取得的成效：通过绩效评价分析部门整体支出对单位基本运转及单位职能履职的保障作用，总结经验做法，找出资金使用和管理中的薄弱环节，进一步加强预算管理，提高财政资金使用效益，为部门科学决策、规范管理提供参考。</w:t>
      </w:r>
    </w:p>
    <w:p w14:paraId="1C45E66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发现的问题及原因：</w:t>
      </w:r>
    </w:p>
    <w:p w14:paraId="2852DED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(一)预算执行存在偏差</w:t>
      </w:r>
    </w:p>
    <w:p w14:paraId="0FD5184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由于项目支出指标到12月份才下达指示，在预算执行中造成个别预算调剂现象。对个别项目资金使用方面预算不够细致，出现实际支出数超出了预算申报数和出现项目资金结金数额多的情况。</w:t>
      </w:r>
    </w:p>
    <w:p w14:paraId="2AF50E2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（二）目标设定科学性及评价存在难度</w:t>
      </w:r>
    </w:p>
    <w:p w14:paraId="6D0A481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对于目标设定需要分科室</w:t>
      </w:r>
      <w:r>
        <w:rPr>
          <w:rFonts w:hint="default" w:ascii="Times New Roman" w:hAnsi="Times New Roman" w:eastAsia="方正仿宋_GBK" w:cs="Times New Roman"/>
          <w:b w:val="0"/>
          <w:sz w:val="32"/>
          <w:szCs w:val="32"/>
          <w:lang w:eastAsia="zh-CN"/>
        </w:rPr>
        <w:t>单位</w:t>
      </w:r>
      <w:r>
        <w:rPr>
          <w:rFonts w:hint="default" w:ascii="Times New Roman" w:hAnsi="Times New Roman" w:eastAsia="方正仿宋_GBK" w:cs="Times New Roman"/>
          <w:b w:val="0"/>
          <w:sz w:val="32"/>
          <w:szCs w:val="32"/>
        </w:rPr>
        <w:t>分解汇总后制定整体目标，如何科学整合全单位绩效目标比较困难；目标设定后如何科学设定考核评价标准，特别是对于不能量化的目标如何评价。</w:t>
      </w:r>
    </w:p>
    <w:p w14:paraId="08FAC73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（三）财务管理方面，会计核算还不够细致对于有些能够细分的工作未能详细分类核算绩效评价基础数据不够精准。</w:t>
      </w:r>
    </w:p>
    <w:p w14:paraId="77F8631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lang w:val="en-US" w:eastAsia="zh-CN"/>
        </w:rPr>
      </w:pPr>
      <w:r>
        <w:rPr>
          <w:rFonts w:hint="default" w:ascii="Times New Roman" w:hAnsi="Times New Roman" w:eastAsia="方正仿宋_GBK" w:cs="Times New Roman"/>
          <w:b w:val="0"/>
          <w:sz w:val="32"/>
          <w:szCs w:val="32"/>
        </w:rPr>
        <w:t>下一步改进措施：</w:t>
      </w:r>
      <w:r>
        <w:rPr>
          <w:rFonts w:hint="default" w:ascii="Times New Roman" w:hAnsi="Times New Roman" w:eastAsia="方正仿宋_GBK" w:cs="Times New Roman"/>
          <w:b w:val="0"/>
          <w:sz w:val="32"/>
          <w:szCs w:val="32"/>
          <w:lang w:val="en-US" w:eastAsia="zh-CN"/>
        </w:rPr>
        <w:t>（一）加强新行政单位会计制度和新预算法学习培训，规范账务处理，加强新《预算法》、《行政单位会计制度》 、《会计法》 、《行政单位财务规则》等学习培训规范单位预算收支核算。制定和完善基本支出、项目支出等各项支出标准严格按项目和进度执行预算 增强预算的约束力和严肃性；落实预算执行分析及时了解预算执行差异合理调整、纠正预算执行偏差，切实提高单位预算收支管理水平。尽可能地做到决算与预算相衔接。</w:t>
      </w:r>
    </w:p>
    <w:p w14:paraId="1710FAA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（二）完善管理制度进</w:t>
      </w:r>
      <w:r>
        <w:rPr>
          <w:rFonts w:hint="default" w:ascii="Times New Roman" w:hAnsi="Times New Roman" w:eastAsia="方正仿宋_GBK" w:cs="Times New Roman"/>
          <w:b w:val="0"/>
          <w:sz w:val="32"/>
          <w:szCs w:val="32"/>
          <w:lang w:val="en-US" w:eastAsia="zh-CN"/>
        </w:rPr>
        <w:t>一步</w:t>
      </w:r>
      <w:r>
        <w:rPr>
          <w:rFonts w:hint="default" w:ascii="Times New Roman" w:hAnsi="Times New Roman" w:eastAsia="方正仿宋_GBK" w:cs="Times New Roman"/>
          <w:b w:val="0"/>
          <w:sz w:val="32"/>
          <w:szCs w:val="32"/>
        </w:rPr>
        <w:t>加强资产管理</w:t>
      </w:r>
    </w:p>
    <w:p w14:paraId="0F8F3D8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严格按照《固定资产管理办法》的规定加强固定资产管理及时登记、更新台账，加强资产卡片管理对各类实物资产进行全面盘点确保账账、账实相符。</w:t>
      </w:r>
    </w:p>
    <w:p w14:paraId="0803BE5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lang w:val="en-US" w:eastAsia="zh-CN"/>
        </w:rPr>
        <w:t>（三）加强学习如何科学合理制定绩效目标及考核体系，充分发挥绩效工作效用。</w:t>
      </w:r>
    </w:p>
    <w:p w14:paraId="4E8B651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r>
        <w:rPr>
          <w:rFonts w:hint="default" w:ascii="Times New Roman" w:hAnsi="Times New Roman" w:eastAsia="方正仿宋_GBK" w:cs="Times New Roman"/>
          <w:b w:val="0"/>
          <w:sz w:val="32"/>
          <w:szCs w:val="32"/>
        </w:rPr>
        <w:t>具体附部门整体支出绩效自评表，项目支出绩效自评表和部门评价报告。</w:t>
      </w:r>
    </w:p>
    <w:p w14:paraId="78E2BD9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p>
    <w:p w14:paraId="62523F1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p>
    <w:p w14:paraId="5E23AB2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p>
    <w:p w14:paraId="11C3B8B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p>
    <w:p w14:paraId="5729564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p>
    <w:p w14:paraId="1A575F2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p>
    <w:p w14:paraId="0D24FAE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p>
    <w:p w14:paraId="3B6ACF5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p>
    <w:p w14:paraId="769D056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方正仿宋_GBK" w:cs="Times New Roman"/>
          <w:b w:val="0"/>
          <w:sz w:val="32"/>
          <w:szCs w:val="32"/>
        </w:rPr>
      </w:pP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3"/>
        <w:gridCol w:w="603"/>
        <w:gridCol w:w="604"/>
        <w:gridCol w:w="801"/>
        <w:gridCol w:w="1019"/>
        <w:gridCol w:w="904"/>
        <w:gridCol w:w="885"/>
        <w:gridCol w:w="885"/>
        <w:gridCol w:w="2552"/>
      </w:tblGrid>
      <w:tr w14:paraId="4256A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8856" w:type="dxa"/>
            <w:gridSpan w:val="9"/>
            <w:tcBorders>
              <w:top w:val="nil"/>
              <w:left w:val="nil"/>
              <w:bottom w:val="nil"/>
              <w:right w:val="nil"/>
            </w:tcBorders>
            <w:shd w:val="clear" w:color="auto" w:fill="auto"/>
            <w:noWrap/>
            <w:vAlign w:val="center"/>
          </w:tcPr>
          <w:p w14:paraId="250BF9F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部门整体支出绩效目标自评表</w:t>
            </w:r>
          </w:p>
        </w:tc>
      </w:tr>
      <w:tr w14:paraId="43134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8856" w:type="dxa"/>
            <w:gridSpan w:val="9"/>
            <w:tcBorders>
              <w:top w:val="nil"/>
              <w:left w:val="nil"/>
              <w:bottom w:val="nil"/>
              <w:right w:val="nil"/>
            </w:tcBorders>
            <w:shd w:val="clear" w:color="auto" w:fill="auto"/>
            <w:noWrap/>
            <w:vAlign w:val="center"/>
          </w:tcPr>
          <w:p w14:paraId="384E516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2024</w:t>
            </w:r>
          </w:p>
        </w:tc>
      </w:tr>
      <w:tr w14:paraId="43D31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03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5E13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部门（单位）名称</w:t>
            </w:r>
          </w:p>
        </w:tc>
        <w:tc>
          <w:tcPr>
            <w:tcW w:w="681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10A0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乌鲁木齐经济技术开发区（乌鲁木齐市头屯河区）城市管理局</w:t>
            </w:r>
          </w:p>
        </w:tc>
      </w:tr>
      <w:tr w14:paraId="17024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58" w:type="dxa"/>
            <w:gridSpan w:val="2"/>
            <w:vMerge w:val="restart"/>
            <w:tcBorders>
              <w:top w:val="single" w:color="000000" w:sz="4" w:space="0"/>
              <w:left w:val="single" w:color="000000" w:sz="4" w:space="0"/>
              <w:bottom w:val="single" w:color="000000" w:sz="4" w:space="0"/>
              <w:right w:val="nil"/>
            </w:tcBorders>
            <w:shd w:val="clear" w:color="auto" w:fill="auto"/>
            <w:vAlign w:val="center"/>
          </w:tcPr>
          <w:p w14:paraId="5A8BE4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年度预算（万元）</w:t>
            </w:r>
          </w:p>
        </w:tc>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CEA96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资金来源</w:t>
            </w: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62331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年初预算数（万元）</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F1F33">
            <w:pPr>
              <w:keepNext w:val="0"/>
              <w:keepLines w:val="0"/>
              <w:widowControl/>
              <w:suppressLineNumbers w:val="0"/>
              <w:jc w:val="center"/>
              <w:textAlignment w:val="center"/>
              <w:rPr>
                <w:rFonts w:hint="default" w:ascii="Times New Roman" w:hAnsi="Times New Roman" w:eastAsia="宋体" w:cs="Times New Roman"/>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预算数（调整后）</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E2637">
            <w:pPr>
              <w:keepNext w:val="0"/>
              <w:keepLines w:val="0"/>
              <w:widowControl/>
              <w:suppressLineNumbers w:val="0"/>
              <w:jc w:val="center"/>
              <w:textAlignment w:val="center"/>
            </w:pPr>
            <w:r>
              <w:rPr>
                <w:rFonts w:hint="eastAsia" w:ascii="宋体" w:hAnsi="宋体" w:eastAsia="宋体" w:cs="宋体"/>
                <w:i w:val="0"/>
                <w:iCs w:val="0"/>
                <w:color w:val="333333"/>
                <w:kern w:val="0"/>
                <w:sz w:val="20"/>
                <w:szCs w:val="20"/>
                <w:u w:val="none"/>
                <w:lang w:val="en-US" w:eastAsia="zh-CN" w:bidi="ar"/>
              </w:rPr>
              <w:t>执行数</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8FE14">
            <w:pPr>
              <w:keepNext w:val="0"/>
              <w:keepLines w:val="0"/>
              <w:widowControl/>
              <w:suppressLineNumbers w:val="0"/>
              <w:jc w:val="center"/>
              <w:textAlignment w:val="center"/>
            </w:pPr>
            <w:r>
              <w:rPr>
                <w:rFonts w:hint="eastAsia" w:ascii="宋体" w:hAnsi="宋体" w:eastAsia="宋体" w:cs="宋体"/>
                <w:i w:val="0"/>
                <w:iCs w:val="0"/>
                <w:color w:val="333333"/>
                <w:kern w:val="0"/>
                <w:sz w:val="20"/>
                <w:szCs w:val="20"/>
                <w:u w:val="none"/>
                <w:lang w:val="en-US" w:eastAsia="zh-CN" w:bidi="ar"/>
              </w:rPr>
              <w:t>执行率(%)</w:t>
            </w:r>
          </w:p>
        </w:tc>
      </w:tr>
      <w:tr w14:paraId="332E2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58" w:type="dxa"/>
            <w:gridSpan w:val="2"/>
            <w:vMerge w:val="continue"/>
            <w:tcBorders>
              <w:top w:val="single" w:color="000000" w:sz="4" w:space="0"/>
              <w:left w:val="single" w:color="000000" w:sz="4" w:space="0"/>
              <w:bottom w:val="single" w:color="000000" w:sz="4" w:space="0"/>
              <w:right w:val="nil"/>
            </w:tcBorders>
            <w:shd w:val="clear" w:color="auto" w:fill="auto"/>
            <w:vAlign w:val="center"/>
          </w:tcPr>
          <w:p w14:paraId="2F642A25">
            <w:pPr>
              <w:jc w:val="center"/>
              <w:rPr>
                <w:rFonts w:hint="default" w:ascii="Times New Roman" w:hAnsi="Times New Roman" w:eastAsia="宋体" w:cs="Times New Roman"/>
                <w:i w:val="0"/>
                <w:iCs w:val="0"/>
                <w:color w:val="000000"/>
                <w:sz w:val="20"/>
                <w:szCs w:val="20"/>
                <w:u w:val="none"/>
              </w:rPr>
            </w:pPr>
          </w:p>
        </w:tc>
        <w:tc>
          <w:tcPr>
            <w:tcW w:w="680" w:type="dxa"/>
            <w:vMerge w:val="restart"/>
            <w:tcBorders>
              <w:top w:val="single" w:color="000000" w:sz="4" w:space="0"/>
              <w:left w:val="single" w:color="000000" w:sz="4" w:space="0"/>
              <w:bottom w:val="nil"/>
              <w:right w:val="single" w:color="000000" w:sz="4" w:space="0"/>
            </w:tcBorders>
            <w:shd w:val="clear" w:color="auto" w:fill="auto"/>
            <w:vAlign w:val="center"/>
          </w:tcPr>
          <w:p w14:paraId="68F729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财政资金（万元）</w:t>
            </w:r>
          </w:p>
        </w:tc>
        <w:tc>
          <w:tcPr>
            <w:tcW w:w="519" w:type="dxa"/>
            <w:tcBorders>
              <w:top w:val="single" w:color="000000" w:sz="4" w:space="0"/>
              <w:left w:val="single" w:color="000000" w:sz="4" w:space="0"/>
              <w:bottom w:val="nil"/>
              <w:right w:val="single" w:color="000000" w:sz="4" w:space="0"/>
            </w:tcBorders>
            <w:shd w:val="clear" w:color="auto" w:fill="auto"/>
            <w:vAlign w:val="center"/>
          </w:tcPr>
          <w:p w14:paraId="1E58E05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上级资金：</w:t>
            </w:r>
          </w:p>
        </w:tc>
        <w:tc>
          <w:tcPr>
            <w:tcW w:w="2216" w:type="dxa"/>
            <w:gridSpan w:val="2"/>
            <w:tcBorders>
              <w:top w:val="single" w:color="000000" w:sz="4" w:space="0"/>
              <w:left w:val="single" w:color="000000" w:sz="4" w:space="0"/>
              <w:bottom w:val="nil"/>
              <w:right w:val="single" w:color="000000" w:sz="4" w:space="0"/>
            </w:tcBorders>
            <w:shd w:val="clear" w:color="auto" w:fill="auto"/>
            <w:vAlign w:val="center"/>
          </w:tcPr>
          <w:p w14:paraId="6AB0D74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304.39</w:t>
            </w:r>
          </w:p>
        </w:tc>
        <w:tc>
          <w:tcPr>
            <w:tcW w:w="679" w:type="dxa"/>
            <w:tcBorders>
              <w:top w:val="single" w:color="000000" w:sz="4" w:space="0"/>
              <w:left w:val="single" w:color="000000" w:sz="4" w:space="0"/>
              <w:bottom w:val="nil"/>
              <w:right w:val="single" w:color="000000" w:sz="4" w:space="0"/>
            </w:tcBorders>
            <w:shd w:val="clear" w:color="auto" w:fill="auto"/>
            <w:vAlign w:val="center"/>
          </w:tcPr>
          <w:p w14:paraId="06AAD24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0</w:t>
            </w:r>
          </w:p>
        </w:tc>
        <w:tc>
          <w:tcPr>
            <w:tcW w:w="393" w:type="dxa"/>
            <w:tcBorders>
              <w:top w:val="single" w:color="000000" w:sz="4" w:space="0"/>
              <w:left w:val="single" w:color="000000" w:sz="4" w:space="0"/>
              <w:bottom w:val="nil"/>
              <w:right w:val="single" w:color="000000" w:sz="4" w:space="0"/>
            </w:tcBorders>
            <w:shd w:val="clear" w:color="auto" w:fill="auto"/>
            <w:vAlign w:val="center"/>
          </w:tcPr>
          <w:p w14:paraId="4BC9F2A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0</w:t>
            </w:r>
          </w:p>
        </w:tc>
        <w:tc>
          <w:tcPr>
            <w:tcW w:w="3011" w:type="dxa"/>
            <w:tcBorders>
              <w:top w:val="single" w:color="000000" w:sz="4" w:space="0"/>
              <w:left w:val="single" w:color="000000" w:sz="4" w:space="0"/>
              <w:bottom w:val="nil"/>
              <w:right w:val="single" w:color="000000" w:sz="4" w:space="0"/>
            </w:tcBorders>
            <w:shd w:val="clear" w:color="auto" w:fill="auto"/>
            <w:vAlign w:val="center"/>
          </w:tcPr>
          <w:p w14:paraId="5C2F82B9"/>
        </w:tc>
      </w:tr>
      <w:tr w14:paraId="0FC99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58" w:type="dxa"/>
            <w:gridSpan w:val="2"/>
            <w:vMerge w:val="continue"/>
            <w:tcBorders>
              <w:top w:val="single" w:color="000000" w:sz="4" w:space="0"/>
              <w:left w:val="single" w:color="000000" w:sz="4" w:space="0"/>
              <w:bottom w:val="single" w:color="000000" w:sz="4" w:space="0"/>
              <w:right w:val="nil"/>
            </w:tcBorders>
            <w:shd w:val="clear" w:color="auto" w:fill="auto"/>
            <w:vAlign w:val="center"/>
          </w:tcPr>
          <w:p w14:paraId="11DDAC3B">
            <w:pPr>
              <w:jc w:val="center"/>
              <w:rPr>
                <w:rFonts w:hint="default" w:ascii="Times New Roman" w:hAnsi="Times New Roman" w:eastAsia="宋体" w:cs="Times New Roman"/>
                <w:i w:val="0"/>
                <w:iCs w:val="0"/>
                <w:color w:val="000000"/>
                <w:sz w:val="20"/>
                <w:szCs w:val="20"/>
                <w:u w:val="none"/>
              </w:rPr>
            </w:pPr>
          </w:p>
        </w:tc>
        <w:tc>
          <w:tcPr>
            <w:tcW w:w="680" w:type="dxa"/>
            <w:vMerge w:val="continue"/>
            <w:tcBorders>
              <w:top w:val="single" w:color="000000" w:sz="4" w:space="0"/>
              <w:left w:val="single" w:color="000000" w:sz="4" w:space="0"/>
              <w:bottom w:val="nil"/>
              <w:right w:val="single" w:color="000000" w:sz="4" w:space="0"/>
            </w:tcBorders>
            <w:shd w:val="clear" w:color="auto" w:fill="auto"/>
            <w:vAlign w:val="center"/>
          </w:tcPr>
          <w:p w14:paraId="0FB46F6F">
            <w:pPr>
              <w:jc w:val="center"/>
              <w:rPr>
                <w:rFonts w:hint="default" w:ascii="Times New Roman" w:hAnsi="Times New Roman" w:eastAsia="宋体" w:cs="Times New Roman"/>
                <w:i w:val="0"/>
                <w:iCs w:val="0"/>
                <w:color w:val="000000"/>
                <w:sz w:val="20"/>
                <w:szCs w:val="20"/>
                <w:u w:val="none"/>
              </w:rPr>
            </w:pPr>
          </w:p>
        </w:tc>
        <w:tc>
          <w:tcPr>
            <w:tcW w:w="519" w:type="dxa"/>
            <w:tcBorders>
              <w:top w:val="single" w:color="000000" w:sz="4" w:space="0"/>
              <w:left w:val="single" w:color="000000" w:sz="4" w:space="0"/>
              <w:bottom w:val="nil"/>
              <w:right w:val="single" w:color="000000" w:sz="4" w:space="0"/>
            </w:tcBorders>
            <w:shd w:val="clear" w:color="auto" w:fill="auto"/>
            <w:vAlign w:val="center"/>
          </w:tcPr>
          <w:p w14:paraId="6B15D3C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本级资金：</w:t>
            </w: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DDE2D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7925.87</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73B7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26092.03</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389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26092.03</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E5230"/>
        </w:tc>
      </w:tr>
      <w:tr w14:paraId="1183F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58" w:type="dxa"/>
            <w:gridSpan w:val="2"/>
            <w:vMerge w:val="continue"/>
            <w:tcBorders>
              <w:top w:val="single" w:color="000000" w:sz="4" w:space="0"/>
              <w:left w:val="single" w:color="000000" w:sz="4" w:space="0"/>
              <w:bottom w:val="single" w:color="000000" w:sz="4" w:space="0"/>
              <w:right w:val="nil"/>
            </w:tcBorders>
            <w:shd w:val="clear" w:color="auto" w:fill="auto"/>
            <w:vAlign w:val="center"/>
          </w:tcPr>
          <w:p w14:paraId="736526E1">
            <w:pPr>
              <w:jc w:val="center"/>
              <w:rPr>
                <w:rFonts w:hint="default" w:ascii="Times New Roman" w:hAnsi="Times New Roman" w:eastAsia="宋体" w:cs="Times New Roman"/>
                <w:i w:val="0"/>
                <w:iCs w:val="0"/>
                <w:color w:val="000000"/>
                <w:sz w:val="20"/>
                <w:szCs w:val="20"/>
                <w:u w:val="none"/>
              </w:rPr>
            </w:pPr>
          </w:p>
        </w:tc>
        <w:tc>
          <w:tcPr>
            <w:tcW w:w="680" w:type="dxa"/>
            <w:vMerge w:val="continue"/>
            <w:tcBorders>
              <w:top w:val="single" w:color="000000" w:sz="4" w:space="0"/>
              <w:left w:val="single" w:color="000000" w:sz="4" w:space="0"/>
              <w:bottom w:val="nil"/>
              <w:right w:val="single" w:color="000000" w:sz="4" w:space="0"/>
            </w:tcBorders>
            <w:shd w:val="clear" w:color="auto" w:fill="auto"/>
            <w:vAlign w:val="center"/>
          </w:tcPr>
          <w:p w14:paraId="1B02F792">
            <w:pPr>
              <w:jc w:val="center"/>
              <w:rPr>
                <w:rFonts w:hint="default" w:ascii="Times New Roman" w:hAnsi="Times New Roman" w:eastAsia="宋体" w:cs="Times New Roman"/>
                <w:i w:val="0"/>
                <w:iCs w:val="0"/>
                <w:color w:val="00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D8AB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其他资金：</w:t>
            </w: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2E977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14BF6">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0</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A758E">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70E91"/>
        </w:tc>
      </w:tr>
      <w:tr w14:paraId="251B3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58" w:type="dxa"/>
            <w:gridSpan w:val="2"/>
            <w:vMerge w:val="continue"/>
            <w:tcBorders>
              <w:top w:val="single" w:color="000000" w:sz="4" w:space="0"/>
              <w:left w:val="single" w:color="000000" w:sz="4" w:space="0"/>
              <w:bottom w:val="single" w:color="000000" w:sz="4" w:space="0"/>
              <w:right w:val="nil"/>
            </w:tcBorders>
            <w:shd w:val="clear" w:color="auto" w:fill="auto"/>
            <w:vAlign w:val="center"/>
          </w:tcPr>
          <w:p w14:paraId="0BBCE594">
            <w:pPr>
              <w:jc w:val="center"/>
              <w:rPr>
                <w:rFonts w:hint="default" w:ascii="Times New Roman" w:hAnsi="Times New Roman" w:eastAsia="宋体" w:cs="Times New Roman"/>
                <w:i w:val="0"/>
                <w:iCs w:val="0"/>
                <w:color w:val="000000"/>
                <w:sz w:val="20"/>
                <w:szCs w:val="20"/>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720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DF6C6">
            <w:pPr>
              <w:rPr>
                <w:rFonts w:hint="default" w:ascii="Times New Roman" w:hAnsi="Times New Roman" w:eastAsia="宋体" w:cs="Times New Roman"/>
                <w:i w:val="0"/>
                <w:iCs w:val="0"/>
                <w:color w:val="000000"/>
                <w:sz w:val="20"/>
                <w:szCs w:val="20"/>
                <w:u w:val="none"/>
              </w:rPr>
            </w:pP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0BE7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8230.26</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2E141">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26092.03</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EEBCB">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26092.03</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BB50E">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100%</w:t>
            </w:r>
          </w:p>
        </w:tc>
      </w:tr>
      <w:tr w14:paraId="7AC8C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79" w:type="dxa"/>
            <w:vMerge w:val="restart"/>
            <w:tcBorders>
              <w:top w:val="single" w:color="000000" w:sz="4" w:space="0"/>
              <w:left w:val="single" w:color="000000" w:sz="4" w:space="0"/>
              <w:bottom w:val="nil"/>
              <w:right w:val="single" w:color="000000" w:sz="4" w:space="0"/>
            </w:tcBorders>
            <w:shd w:val="clear" w:color="auto" w:fill="auto"/>
            <w:vAlign w:val="center"/>
          </w:tcPr>
          <w:p w14:paraId="2B9D358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年度总体目标</w:t>
            </w:r>
          </w:p>
        </w:tc>
        <w:tc>
          <w:tcPr>
            <w:tcW w:w="3055" w:type="dxa"/>
            <w:gridSpan w:val="4"/>
            <w:tcBorders>
              <w:top w:val="single" w:color="000000" w:sz="4" w:space="0"/>
              <w:left w:val="single" w:color="000000" w:sz="4" w:space="0"/>
              <w:bottom w:val="single" w:color="000000" w:sz="4" w:space="0"/>
              <w:right w:val="nil"/>
            </w:tcBorders>
            <w:shd w:val="clear" w:color="auto" w:fill="auto"/>
            <w:noWrap/>
            <w:vAlign w:val="center"/>
          </w:tcPr>
          <w:p w14:paraId="2E5D0F75">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预期目标</w:t>
            </w:r>
          </w:p>
        </w:tc>
        <w:tc>
          <w:tcPr>
            <w:tcW w:w="5122" w:type="dxa"/>
            <w:gridSpan w:val="4"/>
            <w:tcBorders>
              <w:top w:val="single" w:color="000000" w:sz="4" w:space="0"/>
              <w:left w:val="single" w:color="000000" w:sz="4" w:space="0"/>
              <w:bottom w:val="single" w:color="000000" w:sz="4" w:space="0"/>
              <w:right w:val="nil"/>
            </w:tcBorders>
            <w:shd w:val="clear" w:color="auto" w:fill="auto"/>
            <w:noWrap/>
            <w:vAlign w:val="center"/>
          </w:tcPr>
          <w:p w14:paraId="0AEEFB3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实际完成目标</w:t>
            </w:r>
          </w:p>
        </w:tc>
      </w:tr>
      <w:tr w14:paraId="719CF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0" w:hRule="atLeast"/>
        </w:trPr>
        <w:tc>
          <w:tcPr>
            <w:tcW w:w="679" w:type="dxa"/>
            <w:vMerge w:val="continue"/>
            <w:tcBorders>
              <w:top w:val="single" w:color="000000" w:sz="4" w:space="0"/>
              <w:left w:val="single" w:color="000000" w:sz="4" w:space="0"/>
              <w:bottom w:val="nil"/>
              <w:right w:val="single" w:color="000000" w:sz="4" w:space="0"/>
            </w:tcBorders>
            <w:shd w:val="clear" w:color="auto" w:fill="auto"/>
            <w:vAlign w:val="center"/>
          </w:tcPr>
          <w:p w14:paraId="78E04F6A">
            <w:pPr>
              <w:jc w:val="center"/>
              <w:rPr>
                <w:rFonts w:hint="default" w:ascii="Times New Roman" w:hAnsi="Times New Roman" w:eastAsia="宋体" w:cs="Times New Roman"/>
                <w:b/>
                <w:bCs/>
                <w:i w:val="0"/>
                <w:iCs w:val="0"/>
                <w:color w:val="000000"/>
                <w:sz w:val="20"/>
                <w:szCs w:val="20"/>
                <w:u w:val="none"/>
              </w:rPr>
            </w:pPr>
          </w:p>
        </w:tc>
        <w:tc>
          <w:tcPr>
            <w:tcW w:w="3055" w:type="dxa"/>
            <w:gridSpan w:val="4"/>
            <w:tcBorders>
              <w:top w:val="single" w:color="000000" w:sz="4" w:space="0"/>
              <w:left w:val="single" w:color="000000" w:sz="4" w:space="0"/>
              <w:bottom w:val="nil"/>
              <w:right w:val="single" w:color="000000" w:sz="4" w:space="0"/>
            </w:tcBorders>
            <w:shd w:val="clear" w:color="auto" w:fill="auto"/>
            <w:vAlign w:val="center"/>
          </w:tcPr>
          <w:p w14:paraId="207D224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持续深入开展环境整治、城市更新、为民实事，依法依规开展城市管理行政执法， 提升项目管理水平推进重点项目建设,持续推进生活垃圾分类,强化环卫保洁精细管理,持续推进大气污染防治工作,加强市政设施养护管理,加强城市照明管理维护,依法开展违法建筑防控和拆除工作,深入推进城市管理行政执法工作,提升城市治理科学化精细化智能化水平，为推进经开区高质量发展贡献城市管理力量。</w:t>
            </w:r>
          </w:p>
        </w:tc>
        <w:tc>
          <w:tcPr>
            <w:tcW w:w="5122" w:type="dxa"/>
            <w:gridSpan w:val="4"/>
            <w:tcBorders>
              <w:top w:val="single" w:color="000000" w:sz="4" w:space="0"/>
              <w:left w:val="single" w:color="000000" w:sz="4" w:space="0"/>
              <w:bottom w:val="nil"/>
              <w:right w:val="single" w:color="000000" w:sz="4" w:space="0"/>
            </w:tcBorders>
            <w:shd w:val="clear" w:color="auto" w:fill="auto"/>
            <w:vAlign w:val="center"/>
          </w:tcPr>
          <w:p w14:paraId="70DDA3C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出城市管理改革措施和办法，推进城市管理现代化进程。组织实施和监督检查公共空间综合整治工作；负责户外广告、牌匾标识、标语的监督管理工作；负责城市公共照明有关行政许可工作；负责实施城市容貌及公共照明、景观灯光等亮化工作。组织实施和监督检查环境卫生整治工作；负责城市快速路以外的城市道路及各类人行天桥、桥梁、地下通道的清扫保洁工作；负责拆除环境卫生设施、城市垃圾清运许可的审核工作；负责对城市废弃物的收集、运输实施监督管理；组织实施城市生活垃圾的清运工作；负责城市环卫设施及垃圾、冰雪收运、清运设备（施）采购、维护和管理工作；负责水冲公厕的日常管理和维护工作。持续深入开展环境整治、城市更新、为民实事，依法依规开展城市管理行政执法， 提升项目管理水平推进重点项目建设,持续推进生活垃圾分类,强化环卫保洁精细管理,持续负责城市燃气、供热行业的监督管理工作；负责城市供热经营和权限内燃气经营许可工作；根据乌鲁木齐市燃气、供热相关标准和规范，制定城市燃气、供热行业的技术、运营、服务、供应等管理细则；指导监督燃气、供热行业安全生产、服务质量和应急管理工作。</w:t>
            </w:r>
          </w:p>
        </w:tc>
      </w:tr>
      <w:tr w14:paraId="4067D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A4BC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一级指标</w:t>
            </w:r>
          </w:p>
        </w:tc>
        <w:tc>
          <w:tcPr>
            <w:tcW w:w="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9DDD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二级指标</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63FD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三级指标</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A84EE">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预期指标值</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2EA6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指标设定依据</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234D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权重</w:t>
            </w:r>
          </w:p>
        </w:tc>
        <w:tc>
          <w:tcPr>
            <w:tcW w:w="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1CAC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实际完成指标值</w:t>
            </w:r>
          </w:p>
        </w:tc>
        <w:tc>
          <w:tcPr>
            <w:tcW w:w="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A4716">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得分</w:t>
            </w:r>
          </w:p>
        </w:tc>
        <w:tc>
          <w:tcPr>
            <w:tcW w:w="30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A325D">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备注</w:t>
            </w:r>
          </w:p>
        </w:tc>
      </w:tr>
      <w:tr w14:paraId="5E54B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14E7F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运行成本</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BD01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4A85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“三公经费”控制率</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2925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=100%</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87D5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中央要求</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19A1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1480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06B8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10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2143A"/>
        </w:tc>
      </w:tr>
      <w:tr w14:paraId="19894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7F17E">
            <w:pPr>
              <w:rPr>
                <w:rFonts w:hint="default" w:ascii="Times New Roman" w:hAnsi="Times New Roman" w:eastAsia="宋体" w:cs="Times New Roman"/>
                <w:i w:val="0"/>
                <w:iCs w:val="0"/>
                <w:color w:val="000000"/>
                <w:sz w:val="20"/>
                <w:szCs w:val="20"/>
                <w:u w:val="none"/>
              </w:rPr>
            </w:pP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5AB8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CE6A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强化环卫保洁精细管理</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60C3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&gt;=95%</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BF2C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环境卫生管理办法</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B08C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5C2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B8A5F">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10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EAC54"/>
        </w:tc>
      </w:tr>
      <w:tr w14:paraId="1875B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859A1">
            <w:pPr>
              <w:rPr>
                <w:rFonts w:hint="default" w:ascii="Times New Roman" w:hAnsi="Times New Roman" w:eastAsia="宋体" w:cs="Times New Roman"/>
                <w:i w:val="0"/>
                <w:iCs w:val="0"/>
                <w:color w:val="000000"/>
                <w:sz w:val="20"/>
                <w:szCs w:val="20"/>
                <w:u w:val="none"/>
              </w:rPr>
            </w:pP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BFB5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7FB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市政设施养护管理</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FDBF6">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&gt;=95%</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8F4D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总承包合同</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48AE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8ECB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6FAAB">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10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0FBFF"/>
        </w:tc>
      </w:tr>
      <w:tr w14:paraId="4F308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A3B38">
            <w:pPr>
              <w:rPr>
                <w:rFonts w:hint="default" w:ascii="Times New Roman" w:hAnsi="Times New Roman" w:eastAsia="宋体" w:cs="Times New Roman"/>
                <w:i w:val="0"/>
                <w:iCs w:val="0"/>
                <w:color w:val="000000"/>
                <w:sz w:val="20"/>
                <w:szCs w:val="20"/>
                <w:u w:val="none"/>
              </w:rPr>
            </w:pP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B1F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6375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城市照明管理维护</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7B96">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&gt;=20000盏</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5A1F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总承包合同</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E8F4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B71B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20000盏</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21117">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10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A107D"/>
        </w:tc>
      </w:tr>
      <w:tr w14:paraId="6E90E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1025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管理效率</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1158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7476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日常巡查检查到场次数</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1887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&gt;=30次</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5AE7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巡查巡检工作资料</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AC9F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3732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30次</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0D43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3FF87"/>
        </w:tc>
      </w:tr>
      <w:tr w14:paraId="07B56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F4E5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履职效能</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7718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0879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路灯维修按时完成及时率</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A459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&gt;=95%</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1740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巡查巡检工作资料</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0AC4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C3F3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71D3F">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w:t>
            </w:r>
          </w:p>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D2048"/>
        </w:tc>
      </w:tr>
      <w:tr w14:paraId="7467E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ED4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4A9A3">
            <w:pPr>
              <w:rPr>
                <w:rFonts w:hint="default" w:ascii="Times New Roman" w:hAnsi="Times New Roman" w:eastAsia="宋体" w:cs="Times New Roman"/>
                <w:i w:val="0"/>
                <w:iCs w:val="0"/>
                <w:color w:val="000000"/>
                <w:sz w:val="20"/>
                <w:szCs w:val="20"/>
                <w:u w:val="none"/>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0D7A1">
            <w:pPr>
              <w:rPr>
                <w:rFonts w:hint="default" w:ascii="Times New Roman" w:hAnsi="Times New Roman" w:eastAsia="宋体" w:cs="Times New Roman"/>
                <w:i w:val="0"/>
                <w:iCs w:val="0"/>
                <w:color w:val="000000"/>
                <w:sz w:val="20"/>
                <w:szCs w:val="20"/>
                <w:u w:val="none"/>
              </w:rPr>
            </w:pP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0E09D"/>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13EA">
            <w:pPr>
              <w:rPr>
                <w:rFonts w:hint="default" w:ascii="Times New Roman" w:hAnsi="Times New Roman" w:eastAsia="宋体" w:cs="Times New Roman"/>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68849">
            <w:pPr>
              <w:rPr>
                <w:rFonts w:hint="default" w:ascii="Times New Roman" w:hAnsi="Times New Roman" w:eastAsia="宋体" w:cs="Times New Roman"/>
                <w:i w:val="0"/>
                <w:iCs w:val="0"/>
                <w:color w:val="000000"/>
                <w:sz w:val="20"/>
                <w:szCs w:val="20"/>
                <w:u w:val="none"/>
              </w:rPr>
            </w:pP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3D5B7">
            <w:pPr>
              <w:rPr>
                <w:rFonts w:hint="default" w:ascii="Times New Roman" w:hAnsi="Times New Roman" w:eastAsia="宋体" w:cs="Times New Roman"/>
                <w:i w:val="0"/>
                <w:iCs w:val="0"/>
                <w:color w:val="000000"/>
                <w:sz w:val="20"/>
                <w:szCs w:val="20"/>
                <w:u w:val="none"/>
              </w:rPr>
            </w:pPr>
          </w:p>
        </w:tc>
        <w:tc>
          <w:tcPr>
            <w:tcW w:w="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A6803"/>
        </w:tc>
        <w:tc>
          <w:tcPr>
            <w:tcW w:w="3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1E979"/>
        </w:tc>
      </w:tr>
    </w:tbl>
    <w:p w14:paraId="742760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3AA47E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6496D0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0D68EA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5BB60C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40D584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270A01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14BAFF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17CD1C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69E9AE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1B3528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1CACCD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19767F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5A3DC2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6D3517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2E6D1C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41E30F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339A10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7C0042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9"/>
        <w:gridCol w:w="507"/>
        <w:gridCol w:w="416"/>
        <w:gridCol w:w="1093"/>
        <w:gridCol w:w="1193"/>
        <w:gridCol w:w="730"/>
        <w:gridCol w:w="844"/>
        <w:gridCol w:w="963"/>
        <w:gridCol w:w="259"/>
        <w:gridCol w:w="257"/>
        <w:gridCol w:w="376"/>
        <w:gridCol w:w="440"/>
        <w:gridCol w:w="553"/>
        <w:gridCol w:w="716"/>
      </w:tblGrid>
      <w:tr w14:paraId="62D29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000" w:type="pct"/>
            <w:gridSpan w:val="14"/>
            <w:tcBorders>
              <w:top w:val="nil"/>
              <w:left w:val="nil"/>
              <w:bottom w:val="nil"/>
              <w:right w:val="nil"/>
            </w:tcBorders>
            <w:shd w:val="clear" w:color="auto" w:fill="auto"/>
            <w:vAlign w:val="center"/>
          </w:tcPr>
          <w:p w14:paraId="6717407C">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14:paraId="36C6E31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7CBBA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14"/>
            <w:tcBorders>
              <w:top w:val="nil"/>
              <w:left w:val="nil"/>
              <w:bottom w:val="nil"/>
              <w:right w:val="nil"/>
            </w:tcBorders>
            <w:shd w:val="clear" w:color="auto" w:fill="auto"/>
            <w:vAlign w:val="center"/>
          </w:tcPr>
          <w:p w14:paraId="7D9C86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35851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3B06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425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A29B9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本级市容环卫作业费</w:t>
            </w:r>
          </w:p>
        </w:tc>
      </w:tr>
      <w:tr w14:paraId="669A5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F63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160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82E5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乌鲁木齐经济技术开发区（乌鲁木齐市头屯河区）城市管理局</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B5B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193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5FE3D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乌鲁木齐经济技术开发区（乌鲁木齐市头屯河区）城市管理局</w:t>
            </w:r>
          </w:p>
        </w:tc>
      </w:tr>
      <w:tr w14:paraId="71BC3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4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331F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9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D6C7DE">
            <w:pPr>
              <w:jc w:val="center"/>
              <w:rPr>
                <w:rFonts w:hint="eastAsia" w:ascii="宋体" w:hAnsi="宋体" w:eastAsia="宋体" w:cs="宋体"/>
                <w:i w:val="0"/>
                <w:iCs w:val="0"/>
                <w:color w:val="000000"/>
                <w:sz w:val="20"/>
                <w:szCs w:val="20"/>
                <w:u w:val="none"/>
              </w:rPr>
            </w:pPr>
          </w:p>
        </w:tc>
        <w:tc>
          <w:tcPr>
            <w:tcW w:w="6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35EB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178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8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8B54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2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DB86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4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083A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D30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1FA73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4AB0A">
            <w:pPr>
              <w:jc w:val="center"/>
              <w:rPr>
                <w:rFonts w:hint="eastAsia" w:ascii="宋体" w:hAnsi="宋体" w:eastAsia="宋体" w:cs="宋体"/>
                <w:i w:val="0"/>
                <w:iCs w:val="0"/>
                <w:color w:val="000000"/>
                <w:sz w:val="20"/>
                <w:szCs w:val="20"/>
                <w:u w:val="none"/>
              </w:rPr>
            </w:pPr>
          </w:p>
        </w:tc>
        <w:tc>
          <w:tcPr>
            <w:tcW w:w="9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6045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6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8B2C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D66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68D3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2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331C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04DB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057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10.00分</w:t>
            </w:r>
          </w:p>
        </w:tc>
      </w:tr>
      <w:tr w14:paraId="507F3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D6E76">
            <w:pPr>
              <w:jc w:val="center"/>
              <w:rPr>
                <w:rFonts w:hint="eastAsia" w:ascii="宋体" w:hAnsi="宋体" w:eastAsia="宋体" w:cs="宋体"/>
                <w:i w:val="0"/>
                <w:iCs w:val="0"/>
                <w:color w:val="000000"/>
                <w:sz w:val="20"/>
                <w:szCs w:val="20"/>
                <w:u w:val="none"/>
              </w:rPr>
            </w:pPr>
          </w:p>
        </w:tc>
        <w:tc>
          <w:tcPr>
            <w:tcW w:w="9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C1FB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6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66F8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63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A17D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88B4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711E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7DB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D32B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4F4C4">
            <w:pPr>
              <w:jc w:val="center"/>
              <w:rPr>
                <w:rFonts w:hint="eastAsia" w:ascii="宋体" w:hAnsi="宋体" w:eastAsia="宋体" w:cs="宋体"/>
                <w:i w:val="0"/>
                <w:iCs w:val="0"/>
                <w:color w:val="000000"/>
                <w:sz w:val="20"/>
                <w:szCs w:val="20"/>
                <w:u w:val="none"/>
              </w:rPr>
            </w:pPr>
          </w:p>
        </w:tc>
        <w:tc>
          <w:tcPr>
            <w:tcW w:w="9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0A14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6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59B6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05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8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921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2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6004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2A71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D72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D22E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ADA3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269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B848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193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7214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35BE0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0" w:hRule="atLeast"/>
        </w:trPr>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BBB64">
            <w:pPr>
              <w:jc w:val="center"/>
              <w:rPr>
                <w:rFonts w:hint="eastAsia" w:ascii="宋体" w:hAnsi="宋体" w:eastAsia="宋体" w:cs="宋体"/>
                <w:i w:val="0"/>
                <w:iCs w:val="0"/>
                <w:color w:val="000000"/>
                <w:sz w:val="20"/>
                <w:szCs w:val="20"/>
                <w:u w:val="none"/>
              </w:rPr>
            </w:pPr>
          </w:p>
        </w:tc>
        <w:tc>
          <w:tcPr>
            <w:tcW w:w="2691" w:type="pct"/>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47ED91F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通过招标外包2家服务单位，完成全区清扫保洁、冰雪清除、牛皮癣清除、洒水降尘、环境卫生综合整治等工作，做好环境卫生巡查，保障全区环境卫生整洁</w:t>
            </w:r>
          </w:p>
        </w:tc>
        <w:tc>
          <w:tcPr>
            <w:tcW w:w="1934" w:type="pct"/>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437D72A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通过招标外包2家服务单位，完成全区清扫保洁、冰雪清除、牛皮癣清除、洒水降尘、环境卫生综合整治等工作，做好环境卫生巡查，保障全区环境卫生整洁</w:t>
            </w:r>
          </w:p>
        </w:tc>
      </w:tr>
      <w:tr w14:paraId="5343B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525E49">
            <w:pPr>
              <w:jc w:val="center"/>
              <w:rPr>
                <w:rFonts w:hint="eastAsia" w:ascii="宋体" w:hAnsi="宋体" w:eastAsia="宋体" w:cs="宋体"/>
                <w:i w:val="0"/>
                <w:iCs w:val="0"/>
                <w:color w:val="000000"/>
                <w:sz w:val="20"/>
                <w:szCs w:val="20"/>
                <w:u w:val="none"/>
              </w:rPr>
            </w:pPr>
          </w:p>
        </w:tc>
        <w:tc>
          <w:tcPr>
            <w:tcW w:w="3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F115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5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940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108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B2B8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B84A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C8D9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28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570C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30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2330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63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99CE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548BA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BDCCF">
            <w:pPr>
              <w:jc w:val="center"/>
              <w:rPr>
                <w:rFonts w:hint="eastAsia" w:ascii="宋体" w:hAnsi="宋体" w:eastAsia="宋体" w:cs="宋体"/>
                <w:i w:val="0"/>
                <w:iCs w:val="0"/>
                <w:color w:val="000000"/>
                <w:sz w:val="20"/>
                <w:szCs w:val="20"/>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E8DC6">
            <w:pPr>
              <w:jc w:val="center"/>
              <w:rPr>
                <w:rFonts w:hint="eastAsia" w:ascii="宋体" w:hAnsi="宋体" w:eastAsia="宋体" w:cs="宋体"/>
                <w:i w:val="0"/>
                <w:iCs w:val="0"/>
                <w:color w:val="000000"/>
                <w:sz w:val="20"/>
                <w:szCs w:val="20"/>
                <w:u w:val="none"/>
              </w:rPr>
            </w:pPr>
          </w:p>
        </w:tc>
        <w:tc>
          <w:tcPr>
            <w:tcW w:w="5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EED46">
            <w:pPr>
              <w:jc w:val="center"/>
              <w:rPr>
                <w:rFonts w:hint="eastAsia" w:ascii="宋体" w:hAnsi="宋体" w:eastAsia="宋体" w:cs="宋体"/>
                <w:i w:val="0"/>
                <w:iCs w:val="0"/>
                <w:color w:val="000000"/>
                <w:sz w:val="20"/>
                <w:szCs w:val="20"/>
                <w:u w:val="none"/>
              </w:rPr>
            </w:pPr>
          </w:p>
        </w:tc>
        <w:tc>
          <w:tcPr>
            <w:tcW w:w="108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A6EB2">
            <w:pPr>
              <w:jc w:val="center"/>
              <w:rPr>
                <w:rFonts w:hint="eastAsia" w:ascii="宋体" w:hAnsi="宋体" w:eastAsia="宋体" w:cs="宋体"/>
                <w:i w:val="0"/>
                <w:iCs w:val="0"/>
                <w:color w:val="000000"/>
                <w:sz w:val="20"/>
                <w:szCs w:val="20"/>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DC25D">
            <w:pPr>
              <w:jc w:val="center"/>
              <w:rPr>
                <w:rFonts w:hint="eastAsia" w:ascii="宋体" w:hAnsi="宋体" w:eastAsia="宋体" w:cs="宋体"/>
                <w:i w:val="0"/>
                <w:iCs w:val="0"/>
                <w:color w:val="000000"/>
                <w:sz w:val="20"/>
                <w:szCs w:val="20"/>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7CE91">
            <w:pPr>
              <w:jc w:val="center"/>
              <w:rPr>
                <w:rFonts w:hint="eastAsia" w:ascii="宋体" w:hAnsi="宋体" w:eastAsia="宋体" w:cs="宋体"/>
                <w:i w:val="0"/>
                <w:iCs w:val="0"/>
                <w:color w:val="000000"/>
                <w:sz w:val="20"/>
                <w:szCs w:val="20"/>
                <w:u w:val="none"/>
              </w:rPr>
            </w:pPr>
          </w:p>
        </w:tc>
        <w:tc>
          <w:tcPr>
            <w:tcW w:w="28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717FF">
            <w:pPr>
              <w:jc w:val="center"/>
              <w:rPr>
                <w:rFonts w:hint="eastAsia" w:ascii="宋体" w:hAnsi="宋体" w:eastAsia="宋体" w:cs="宋体"/>
                <w:i w:val="0"/>
                <w:iCs w:val="0"/>
                <w:color w:val="000000"/>
                <w:sz w:val="20"/>
                <w:szCs w:val="20"/>
                <w:u w:val="none"/>
              </w:rPr>
            </w:pPr>
          </w:p>
        </w:tc>
        <w:tc>
          <w:tcPr>
            <w:tcW w:w="30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C5568">
            <w:pPr>
              <w:jc w:val="center"/>
              <w:rPr>
                <w:rFonts w:hint="eastAsia" w:ascii="宋体" w:hAnsi="宋体" w:eastAsia="宋体" w:cs="宋体"/>
                <w:i w:val="0"/>
                <w:iCs w:val="0"/>
                <w:color w:val="000000"/>
                <w:sz w:val="20"/>
                <w:szCs w:val="20"/>
                <w:u w:val="none"/>
              </w:rPr>
            </w:pPr>
          </w:p>
        </w:tc>
        <w:tc>
          <w:tcPr>
            <w:tcW w:w="63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85F92">
            <w:pPr>
              <w:jc w:val="center"/>
              <w:rPr>
                <w:rFonts w:hint="eastAsia" w:ascii="宋体" w:hAnsi="宋体" w:eastAsia="宋体" w:cs="宋体"/>
                <w:i w:val="0"/>
                <w:iCs w:val="0"/>
                <w:color w:val="000000"/>
                <w:sz w:val="20"/>
                <w:szCs w:val="20"/>
                <w:u w:val="none"/>
              </w:rPr>
            </w:pPr>
          </w:p>
        </w:tc>
      </w:tr>
      <w:tr w14:paraId="2D3E0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C0AC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3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26BE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0B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08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290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环卫服务保洁外包作业单位数量</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049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=2个</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69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=2个</w:t>
            </w:r>
          </w:p>
        </w:tc>
        <w:tc>
          <w:tcPr>
            <w:tcW w:w="2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48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D05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01CB2">
            <w:pPr>
              <w:jc w:val="center"/>
              <w:rPr>
                <w:rFonts w:hint="eastAsia" w:ascii="宋体" w:hAnsi="宋体" w:eastAsia="宋体" w:cs="宋体"/>
                <w:i w:val="0"/>
                <w:iCs w:val="0"/>
                <w:color w:val="000000"/>
                <w:sz w:val="20"/>
                <w:szCs w:val="20"/>
                <w:u w:val="none"/>
              </w:rPr>
            </w:pPr>
          </w:p>
        </w:tc>
      </w:tr>
      <w:tr w14:paraId="11EC6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1C20C">
            <w:pPr>
              <w:jc w:val="center"/>
              <w:rPr>
                <w:rFonts w:hint="eastAsia" w:ascii="宋体" w:hAnsi="宋体" w:eastAsia="宋体" w:cs="宋体"/>
                <w:i w:val="0"/>
                <w:iCs w:val="0"/>
                <w:color w:val="000000"/>
                <w:sz w:val="20"/>
                <w:szCs w:val="20"/>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4264C">
            <w:pPr>
              <w:jc w:val="center"/>
              <w:rPr>
                <w:rFonts w:hint="eastAsia" w:ascii="宋体" w:hAnsi="宋体" w:eastAsia="宋体" w:cs="宋体"/>
                <w:i w:val="0"/>
                <w:iCs w:val="0"/>
                <w:color w:val="000000"/>
                <w:sz w:val="20"/>
                <w:szCs w:val="20"/>
                <w:u w:val="none"/>
              </w:rPr>
            </w:pPr>
          </w:p>
        </w:tc>
        <w:tc>
          <w:tcPr>
            <w:tcW w:w="5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081A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108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186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日常巡查覆盖率</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86F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079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2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9D8A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2925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2C9A0A">
            <w:pPr>
              <w:jc w:val="center"/>
              <w:rPr>
                <w:rFonts w:hint="eastAsia" w:ascii="宋体" w:hAnsi="宋体" w:eastAsia="宋体" w:cs="宋体"/>
                <w:i w:val="0"/>
                <w:iCs w:val="0"/>
                <w:color w:val="000000"/>
                <w:sz w:val="20"/>
                <w:szCs w:val="20"/>
                <w:u w:val="none"/>
              </w:rPr>
            </w:pPr>
          </w:p>
        </w:tc>
      </w:tr>
      <w:tr w14:paraId="6B046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D5DCE">
            <w:pPr>
              <w:jc w:val="center"/>
              <w:rPr>
                <w:rFonts w:hint="eastAsia" w:ascii="宋体" w:hAnsi="宋体" w:eastAsia="宋体" w:cs="宋体"/>
                <w:i w:val="0"/>
                <w:iCs w:val="0"/>
                <w:color w:val="000000"/>
                <w:sz w:val="20"/>
                <w:szCs w:val="20"/>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32A0A">
            <w:pPr>
              <w:jc w:val="center"/>
              <w:rPr>
                <w:rFonts w:hint="eastAsia" w:ascii="宋体" w:hAnsi="宋体" w:eastAsia="宋体" w:cs="宋体"/>
                <w:i w:val="0"/>
                <w:iCs w:val="0"/>
                <w:color w:val="000000"/>
                <w:sz w:val="20"/>
                <w:szCs w:val="20"/>
                <w:u w:val="none"/>
              </w:rPr>
            </w:pPr>
          </w:p>
        </w:tc>
        <w:tc>
          <w:tcPr>
            <w:tcW w:w="5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2930A">
            <w:pPr>
              <w:jc w:val="center"/>
              <w:rPr>
                <w:rFonts w:hint="eastAsia" w:ascii="宋体" w:hAnsi="宋体" w:eastAsia="宋体" w:cs="宋体"/>
                <w:i w:val="0"/>
                <w:iCs w:val="0"/>
                <w:color w:val="000000"/>
                <w:sz w:val="20"/>
                <w:szCs w:val="20"/>
                <w:u w:val="none"/>
              </w:rPr>
            </w:pPr>
          </w:p>
        </w:tc>
        <w:tc>
          <w:tcPr>
            <w:tcW w:w="108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48B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日常巡查问题整改通过率</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D9D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CB3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2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F4FA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DB12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88B185">
            <w:pPr>
              <w:jc w:val="center"/>
              <w:rPr>
                <w:rFonts w:hint="eastAsia" w:ascii="宋体" w:hAnsi="宋体" w:eastAsia="宋体" w:cs="宋体"/>
                <w:i w:val="0"/>
                <w:iCs w:val="0"/>
                <w:color w:val="000000"/>
                <w:sz w:val="20"/>
                <w:szCs w:val="20"/>
                <w:u w:val="none"/>
              </w:rPr>
            </w:pPr>
          </w:p>
        </w:tc>
      </w:tr>
      <w:tr w14:paraId="0054B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93BAC">
            <w:pPr>
              <w:jc w:val="center"/>
              <w:rPr>
                <w:rFonts w:hint="eastAsia" w:ascii="宋体" w:hAnsi="宋体" w:eastAsia="宋体" w:cs="宋体"/>
                <w:i w:val="0"/>
                <w:iCs w:val="0"/>
                <w:color w:val="000000"/>
                <w:sz w:val="20"/>
                <w:szCs w:val="20"/>
                <w:u w:val="none"/>
              </w:rPr>
            </w:pPr>
          </w:p>
        </w:tc>
        <w:tc>
          <w:tcPr>
            <w:tcW w:w="3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A7E92">
            <w:pPr>
              <w:jc w:val="center"/>
              <w:rPr>
                <w:rFonts w:hint="eastAsia" w:ascii="宋体" w:hAnsi="宋体" w:eastAsia="宋体" w:cs="宋体"/>
                <w:i w:val="0"/>
                <w:iCs w:val="0"/>
                <w:color w:val="000000"/>
                <w:sz w:val="20"/>
                <w:szCs w:val="20"/>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B74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08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6B3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环卫保洁任务按时完成率</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1FC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074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2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4FF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4501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18AA65">
            <w:pPr>
              <w:jc w:val="center"/>
              <w:rPr>
                <w:rFonts w:hint="eastAsia" w:ascii="宋体" w:hAnsi="宋体" w:eastAsia="宋体" w:cs="宋体"/>
                <w:i w:val="0"/>
                <w:iCs w:val="0"/>
                <w:color w:val="000000"/>
                <w:sz w:val="20"/>
                <w:szCs w:val="20"/>
                <w:u w:val="none"/>
              </w:rPr>
            </w:pPr>
          </w:p>
        </w:tc>
      </w:tr>
      <w:tr w14:paraId="3E75F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F0400">
            <w:pPr>
              <w:jc w:val="center"/>
              <w:rPr>
                <w:rFonts w:hint="eastAsia" w:ascii="宋体" w:hAnsi="宋体" w:eastAsia="宋体" w:cs="宋体"/>
                <w:i w:val="0"/>
                <w:iCs w:val="0"/>
                <w:color w:val="000000"/>
                <w:sz w:val="20"/>
                <w:szCs w:val="20"/>
                <w:u w:val="none"/>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B0C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FCA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108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E1C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作业单位环卫保洁项目平均费用</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FA1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=10万元/个</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C8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=10万元/个</w:t>
            </w:r>
          </w:p>
        </w:tc>
        <w:tc>
          <w:tcPr>
            <w:tcW w:w="2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C007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5B8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9EF5B7">
            <w:pPr>
              <w:jc w:val="center"/>
              <w:rPr>
                <w:rFonts w:hint="eastAsia" w:ascii="宋体" w:hAnsi="宋体" w:eastAsia="宋体" w:cs="宋体"/>
                <w:i w:val="0"/>
                <w:iCs w:val="0"/>
                <w:color w:val="000000"/>
                <w:sz w:val="20"/>
                <w:szCs w:val="20"/>
                <w:u w:val="none"/>
              </w:rPr>
            </w:pPr>
          </w:p>
        </w:tc>
      </w:tr>
      <w:tr w14:paraId="22A14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777BD">
            <w:pPr>
              <w:jc w:val="center"/>
              <w:rPr>
                <w:rFonts w:hint="eastAsia" w:ascii="宋体" w:hAnsi="宋体" w:eastAsia="宋体" w:cs="宋体"/>
                <w:i w:val="0"/>
                <w:iCs w:val="0"/>
                <w:color w:val="000000"/>
                <w:sz w:val="20"/>
                <w:szCs w:val="20"/>
                <w:u w:val="none"/>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466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321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108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49C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促进全区环境卫生整洁</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DCC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效果显著</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625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效果显著</w:t>
            </w:r>
          </w:p>
        </w:tc>
        <w:tc>
          <w:tcPr>
            <w:tcW w:w="2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9F4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6714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0D09E8">
            <w:pPr>
              <w:jc w:val="center"/>
              <w:rPr>
                <w:rFonts w:hint="eastAsia" w:ascii="宋体" w:hAnsi="宋体" w:eastAsia="宋体" w:cs="宋体"/>
                <w:i w:val="0"/>
                <w:iCs w:val="0"/>
                <w:color w:val="000000"/>
                <w:sz w:val="20"/>
                <w:szCs w:val="20"/>
                <w:u w:val="none"/>
              </w:rPr>
            </w:pPr>
          </w:p>
        </w:tc>
      </w:tr>
      <w:tr w14:paraId="20DB3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DC9DB">
            <w:pPr>
              <w:jc w:val="center"/>
              <w:rPr>
                <w:rFonts w:hint="eastAsia" w:ascii="宋体" w:hAnsi="宋体" w:eastAsia="宋体" w:cs="宋体"/>
                <w:i w:val="0"/>
                <w:iCs w:val="0"/>
                <w:color w:val="000000"/>
                <w:sz w:val="20"/>
                <w:szCs w:val="20"/>
                <w:u w:val="none"/>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201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969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08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5AD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辖区居民满意度</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515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FE3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2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5AA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9EEE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5A722B">
            <w:pPr>
              <w:jc w:val="center"/>
              <w:rPr>
                <w:rFonts w:hint="eastAsia" w:ascii="宋体" w:hAnsi="宋体" w:eastAsia="宋体" w:cs="宋体"/>
                <w:i w:val="0"/>
                <w:iCs w:val="0"/>
                <w:color w:val="000000"/>
                <w:sz w:val="20"/>
                <w:szCs w:val="20"/>
                <w:u w:val="none"/>
              </w:rPr>
            </w:pPr>
          </w:p>
        </w:tc>
      </w:tr>
      <w:tr w14:paraId="762C1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 w:hRule="atLeast"/>
        </w:trPr>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25B5A">
            <w:pPr>
              <w:jc w:val="center"/>
              <w:rPr>
                <w:rFonts w:hint="eastAsia" w:ascii="宋体" w:hAnsi="宋体" w:eastAsia="宋体" w:cs="宋体"/>
                <w:i w:val="0"/>
                <w:iCs w:val="0"/>
                <w:color w:val="000000"/>
                <w:sz w:val="20"/>
                <w:szCs w:val="20"/>
                <w:u w:val="none"/>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D0347">
            <w:pPr>
              <w:jc w:val="center"/>
              <w:rPr>
                <w:rFonts w:hint="eastAsia" w:ascii="宋体" w:hAnsi="宋体" w:eastAsia="宋体" w:cs="宋体"/>
                <w:i w:val="0"/>
                <w:iCs w:val="0"/>
                <w:color w:val="000000"/>
                <w:sz w:val="20"/>
                <w:szCs w:val="20"/>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24EE0">
            <w:pPr>
              <w:jc w:val="center"/>
              <w:rPr>
                <w:rFonts w:hint="eastAsia" w:ascii="宋体" w:hAnsi="宋体" w:eastAsia="宋体" w:cs="宋体"/>
                <w:i w:val="0"/>
                <w:iCs w:val="0"/>
                <w:color w:val="000000"/>
                <w:sz w:val="20"/>
                <w:szCs w:val="20"/>
                <w:u w:val="none"/>
              </w:rPr>
            </w:pPr>
          </w:p>
        </w:tc>
        <w:tc>
          <w:tcPr>
            <w:tcW w:w="394" w:type="pct"/>
            <w:tcBorders>
              <w:top w:val="single" w:color="000000" w:sz="4" w:space="0"/>
              <w:left w:val="single" w:color="000000" w:sz="4" w:space="0"/>
              <w:bottom w:val="single" w:color="000000" w:sz="4" w:space="0"/>
              <w:right w:val="nil"/>
            </w:tcBorders>
            <w:shd w:val="clear" w:color="auto" w:fill="auto"/>
            <w:noWrap/>
            <w:vAlign w:val="center"/>
          </w:tcPr>
          <w:p w14:paraId="4F93E165">
            <w:pPr>
              <w:jc w:val="left"/>
              <w:rPr>
                <w:rFonts w:hint="eastAsia" w:ascii="宋体" w:hAnsi="宋体" w:eastAsia="宋体" w:cs="宋体"/>
                <w:i w:val="0"/>
                <w:iCs w:val="0"/>
                <w:color w:val="000000"/>
                <w:sz w:val="20"/>
                <w:szCs w:val="20"/>
                <w:u w:val="none"/>
              </w:rPr>
            </w:pPr>
          </w:p>
        </w:tc>
        <w:tc>
          <w:tcPr>
            <w:tcW w:w="430" w:type="pct"/>
            <w:tcBorders>
              <w:top w:val="single" w:color="000000" w:sz="4" w:space="0"/>
              <w:left w:val="nil"/>
              <w:bottom w:val="single" w:color="000000" w:sz="4" w:space="0"/>
              <w:right w:val="nil"/>
            </w:tcBorders>
            <w:shd w:val="clear" w:color="auto" w:fill="auto"/>
            <w:noWrap/>
            <w:vAlign w:val="center"/>
          </w:tcPr>
          <w:p w14:paraId="67E95574">
            <w:pPr>
              <w:jc w:val="left"/>
              <w:rPr>
                <w:rFonts w:hint="eastAsia" w:ascii="宋体" w:hAnsi="宋体" w:eastAsia="宋体" w:cs="宋体"/>
                <w:i w:val="0"/>
                <w:iCs w:val="0"/>
                <w:color w:val="000000"/>
                <w:sz w:val="20"/>
                <w:szCs w:val="20"/>
                <w:u w:val="none"/>
              </w:rPr>
            </w:pPr>
          </w:p>
        </w:tc>
        <w:tc>
          <w:tcPr>
            <w:tcW w:w="262" w:type="pct"/>
            <w:tcBorders>
              <w:top w:val="single" w:color="000000" w:sz="4" w:space="0"/>
              <w:left w:val="nil"/>
              <w:bottom w:val="single" w:color="000000" w:sz="4" w:space="0"/>
              <w:right w:val="single" w:color="000000" w:sz="4" w:space="0"/>
            </w:tcBorders>
            <w:shd w:val="clear" w:color="auto" w:fill="auto"/>
            <w:noWrap/>
            <w:vAlign w:val="center"/>
          </w:tcPr>
          <w:p w14:paraId="03D4AA78">
            <w:pPr>
              <w:jc w:val="left"/>
              <w:rPr>
                <w:rFonts w:hint="eastAsia" w:ascii="宋体" w:hAnsi="宋体" w:eastAsia="宋体" w:cs="宋体"/>
                <w:i w:val="0"/>
                <w:iCs w:val="0"/>
                <w:color w:val="000000"/>
                <w:sz w:val="20"/>
                <w:szCs w:val="20"/>
                <w:u w:val="none"/>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AEA48">
            <w:pPr>
              <w:jc w:val="center"/>
              <w:rPr>
                <w:rFonts w:hint="eastAsia" w:ascii="宋体" w:hAnsi="宋体" w:eastAsia="宋体" w:cs="宋体"/>
                <w:i w:val="0"/>
                <w:iCs w:val="0"/>
                <w:color w:val="000000"/>
                <w:sz w:val="20"/>
                <w:szCs w:val="20"/>
                <w:u w:val="none"/>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22268">
            <w:pPr>
              <w:jc w:val="center"/>
              <w:rPr>
                <w:rFonts w:hint="eastAsia" w:ascii="宋体" w:hAnsi="宋体" w:eastAsia="宋体" w:cs="宋体"/>
                <w:i w:val="0"/>
                <w:iCs w:val="0"/>
                <w:color w:val="000000"/>
                <w:sz w:val="20"/>
                <w:szCs w:val="20"/>
                <w:u w:val="none"/>
              </w:rPr>
            </w:pPr>
          </w:p>
        </w:tc>
        <w:tc>
          <w:tcPr>
            <w:tcW w:w="142" w:type="pct"/>
            <w:tcBorders>
              <w:top w:val="single" w:color="000000" w:sz="4" w:space="0"/>
              <w:left w:val="single" w:color="000000" w:sz="4" w:space="0"/>
              <w:bottom w:val="single" w:color="000000" w:sz="4" w:space="0"/>
              <w:right w:val="nil"/>
            </w:tcBorders>
            <w:shd w:val="clear" w:color="auto" w:fill="auto"/>
            <w:vAlign w:val="center"/>
          </w:tcPr>
          <w:p w14:paraId="4DE55B44">
            <w:pPr>
              <w:jc w:val="center"/>
              <w:rPr>
                <w:rFonts w:hint="eastAsia" w:ascii="宋体" w:hAnsi="宋体" w:eastAsia="宋体" w:cs="宋体"/>
                <w:i w:val="0"/>
                <w:iCs w:val="0"/>
                <w:color w:val="000000"/>
                <w:sz w:val="20"/>
                <w:szCs w:val="20"/>
                <w:u w:val="none"/>
              </w:rPr>
            </w:pPr>
          </w:p>
        </w:tc>
        <w:tc>
          <w:tcPr>
            <w:tcW w:w="141" w:type="pct"/>
            <w:tcBorders>
              <w:top w:val="single" w:color="000000" w:sz="4" w:space="0"/>
              <w:left w:val="nil"/>
              <w:bottom w:val="single" w:color="000000" w:sz="4" w:space="0"/>
              <w:right w:val="single" w:color="000000" w:sz="4" w:space="0"/>
            </w:tcBorders>
            <w:shd w:val="clear" w:color="auto" w:fill="auto"/>
            <w:vAlign w:val="center"/>
          </w:tcPr>
          <w:p w14:paraId="50436A5A">
            <w:pPr>
              <w:jc w:val="center"/>
              <w:rPr>
                <w:rFonts w:hint="eastAsia" w:ascii="宋体" w:hAnsi="宋体" w:eastAsia="宋体" w:cs="宋体"/>
                <w:i w:val="0"/>
                <w:iCs w:val="0"/>
                <w:color w:val="000000"/>
                <w:sz w:val="20"/>
                <w:szCs w:val="20"/>
                <w:u w:val="none"/>
              </w:rPr>
            </w:pPr>
          </w:p>
        </w:tc>
        <w:tc>
          <w:tcPr>
            <w:tcW w:w="140" w:type="pct"/>
            <w:tcBorders>
              <w:top w:val="single" w:color="000000" w:sz="4" w:space="0"/>
              <w:left w:val="single" w:color="000000" w:sz="4" w:space="0"/>
              <w:bottom w:val="single" w:color="000000" w:sz="4" w:space="0"/>
              <w:right w:val="nil"/>
            </w:tcBorders>
            <w:shd w:val="clear" w:color="auto" w:fill="auto"/>
            <w:vAlign w:val="center"/>
          </w:tcPr>
          <w:p w14:paraId="629C2814">
            <w:pPr>
              <w:jc w:val="center"/>
              <w:rPr>
                <w:rFonts w:hint="eastAsia" w:ascii="宋体" w:hAnsi="宋体" w:eastAsia="宋体" w:cs="宋体"/>
                <w:i w:val="0"/>
                <w:iCs w:val="0"/>
                <w:color w:val="000000"/>
                <w:sz w:val="20"/>
                <w:szCs w:val="20"/>
                <w:u w:val="none"/>
              </w:rPr>
            </w:pPr>
          </w:p>
        </w:tc>
        <w:tc>
          <w:tcPr>
            <w:tcW w:w="163" w:type="pct"/>
            <w:tcBorders>
              <w:top w:val="single" w:color="000000" w:sz="4" w:space="0"/>
              <w:left w:val="nil"/>
              <w:bottom w:val="single" w:color="000000" w:sz="4" w:space="0"/>
              <w:right w:val="single" w:color="000000" w:sz="4" w:space="0"/>
            </w:tcBorders>
            <w:shd w:val="clear" w:color="auto" w:fill="auto"/>
            <w:vAlign w:val="center"/>
          </w:tcPr>
          <w:p w14:paraId="12D85638">
            <w:pPr>
              <w:jc w:val="center"/>
              <w:rPr>
                <w:rFonts w:hint="eastAsia" w:ascii="宋体" w:hAnsi="宋体" w:eastAsia="宋体" w:cs="宋体"/>
                <w:i w:val="0"/>
                <w:iCs w:val="0"/>
                <w:color w:val="000000"/>
                <w:sz w:val="20"/>
                <w:szCs w:val="20"/>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299DC">
            <w:pPr>
              <w:jc w:val="center"/>
              <w:rPr>
                <w:rFonts w:hint="eastAsia" w:ascii="宋体" w:hAnsi="宋体" w:eastAsia="宋体" w:cs="宋体"/>
                <w:i w:val="0"/>
                <w:iCs w:val="0"/>
                <w:color w:val="000000"/>
                <w:sz w:val="20"/>
                <w:szCs w:val="20"/>
                <w:u w:val="none"/>
              </w:rPr>
            </w:pP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0EA21">
            <w:pPr>
              <w:jc w:val="center"/>
              <w:rPr>
                <w:rFonts w:hint="eastAsia" w:ascii="宋体" w:hAnsi="宋体" w:eastAsia="宋体" w:cs="宋体"/>
                <w:i w:val="0"/>
                <w:iCs w:val="0"/>
                <w:color w:val="000000"/>
                <w:sz w:val="20"/>
                <w:szCs w:val="20"/>
                <w:u w:val="none"/>
              </w:rPr>
            </w:pPr>
          </w:p>
        </w:tc>
      </w:tr>
      <w:tr w14:paraId="1E3FE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78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D3D2C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2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9747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2C14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100.00分</w:t>
            </w:r>
          </w:p>
        </w:tc>
        <w:tc>
          <w:tcPr>
            <w:tcW w:w="6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A7AA23">
            <w:pPr>
              <w:jc w:val="center"/>
              <w:rPr>
                <w:rFonts w:hint="eastAsia" w:ascii="宋体" w:hAnsi="宋体" w:eastAsia="宋体" w:cs="宋体"/>
                <w:i w:val="0"/>
                <w:iCs w:val="0"/>
                <w:color w:val="000000"/>
                <w:sz w:val="20"/>
                <w:szCs w:val="20"/>
                <w:u w:val="none"/>
              </w:rPr>
            </w:pPr>
          </w:p>
        </w:tc>
      </w:tr>
      <w:tr w14:paraId="30FDE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47" w:type="pct"/>
            <w:gridSpan w:val="2"/>
            <w:tcBorders>
              <w:top w:val="single" w:color="000000" w:sz="4" w:space="0"/>
              <w:left w:val="nil"/>
              <w:bottom w:val="nil"/>
              <w:right w:val="nil"/>
            </w:tcBorders>
            <w:shd w:val="clear" w:color="auto" w:fill="auto"/>
            <w:vAlign w:val="center"/>
          </w:tcPr>
          <w:p w14:paraId="51B071D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经办人：</w:t>
            </w:r>
          </w:p>
        </w:tc>
        <w:tc>
          <w:tcPr>
            <w:tcW w:w="1340" w:type="pct"/>
            <w:gridSpan w:val="3"/>
            <w:tcBorders>
              <w:top w:val="single" w:color="000000" w:sz="4" w:space="0"/>
              <w:left w:val="nil"/>
              <w:bottom w:val="nil"/>
              <w:right w:val="nil"/>
            </w:tcBorders>
            <w:shd w:val="clear" w:color="auto" w:fill="auto"/>
            <w:vAlign w:val="center"/>
          </w:tcPr>
          <w:p w14:paraId="3A73D1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黄先生</w:t>
            </w:r>
          </w:p>
        </w:tc>
        <w:tc>
          <w:tcPr>
            <w:tcW w:w="1834" w:type="pct"/>
            <w:gridSpan w:val="4"/>
            <w:tcBorders>
              <w:top w:val="single" w:color="000000" w:sz="4" w:space="0"/>
              <w:left w:val="nil"/>
              <w:bottom w:val="nil"/>
              <w:right w:val="nil"/>
            </w:tcBorders>
            <w:shd w:val="clear" w:color="auto" w:fill="auto"/>
            <w:vAlign w:val="center"/>
          </w:tcPr>
          <w:p w14:paraId="68556CF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1076" w:type="pct"/>
            <w:gridSpan w:val="5"/>
            <w:tcBorders>
              <w:top w:val="single" w:color="000000" w:sz="4" w:space="0"/>
              <w:left w:val="nil"/>
              <w:bottom w:val="nil"/>
              <w:right w:val="nil"/>
            </w:tcBorders>
            <w:shd w:val="clear" w:color="auto" w:fill="auto"/>
            <w:vAlign w:val="center"/>
          </w:tcPr>
          <w:p w14:paraId="26C888A3">
            <w:pPr>
              <w:jc w:val="left"/>
              <w:rPr>
                <w:rFonts w:hint="eastAsia" w:ascii="宋体" w:hAnsi="宋体" w:eastAsia="宋体" w:cs="宋体"/>
                <w:i w:val="0"/>
                <w:iCs w:val="0"/>
                <w:color w:val="000000"/>
                <w:sz w:val="20"/>
                <w:szCs w:val="20"/>
                <w:u w:val="none"/>
              </w:rPr>
            </w:pPr>
          </w:p>
        </w:tc>
      </w:tr>
      <w:tr w14:paraId="1653E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47" w:type="pct"/>
            <w:gridSpan w:val="2"/>
            <w:tcBorders>
              <w:top w:val="nil"/>
              <w:left w:val="nil"/>
              <w:bottom w:val="nil"/>
              <w:right w:val="nil"/>
            </w:tcBorders>
            <w:shd w:val="clear" w:color="auto" w:fill="auto"/>
            <w:noWrap/>
            <w:vAlign w:val="center"/>
          </w:tcPr>
          <w:p w14:paraId="1E1EC94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联系人：</w:t>
            </w:r>
          </w:p>
        </w:tc>
        <w:tc>
          <w:tcPr>
            <w:tcW w:w="1340" w:type="pct"/>
            <w:gridSpan w:val="3"/>
            <w:tcBorders>
              <w:top w:val="nil"/>
              <w:left w:val="nil"/>
              <w:bottom w:val="nil"/>
              <w:right w:val="nil"/>
            </w:tcBorders>
            <w:shd w:val="clear" w:color="auto" w:fill="auto"/>
            <w:noWrap/>
            <w:vAlign w:val="center"/>
          </w:tcPr>
          <w:p w14:paraId="4B8470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古先生</w:t>
            </w:r>
          </w:p>
        </w:tc>
        <w:tc>
          <w:tcPr>
            <w:tcW w:w="1834" w:type="pct"/>
            <w:gridSpan w:val="4"/>
            <w:tcBorders>
              <w:top w:val="nil"/>
              <w:left w:val="nil"/>
              <w:bottom w:val="nil"/>
              <w:right w:val="nil"/>
            </w:tcBorders>
            <w:shd w:val="clear" w:color="auto" w:fill="auto"/>
            <w:noWrap/>
            <w:vAlign w:val="center"/>
          </w:tcPr>
          <w:p w14:paraId="6264ADC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1076" w:type="pct"/>
            <w:gridSpan w:val="5"/>
            <w:tcBorders>
              <w:top w:val="nil"/>
              <w:left w:val="nil"/>
              <w:bottom w:val="nil"/>
              <w:right w:val="nil"/>
            </w:tcBorders>
            <w:shd w:val="clear" w:color="auto" w:fill="auto"/>
            <w:noWrap/>
            <w:vAlign w:val="center"/>
          </w:tcPr>
          <w:p w14:paraId="54C974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18119178566</w:t>
            </w:r>
          </w:p>
        </w:tc>
      </w:tr>
    </w:tbl>
    <w:p w14:paraId="629003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74228E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28AA3A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0DABC8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204746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5D9543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35961B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51476B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4A0A76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475178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44973C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61D27F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17720B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65C381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7"/>
        <w:gridCol w:w="509"/>
        <w:gridCol w:w="574"/>
        <w:gridCol w:w="1075"/>
        <w:gridCol w:w="1111"/>
        <w:gridCol w:w="630"/>
        <w:gridCol w:w="1038"/>
        <w:gridCol w:w="1042"/>
        <w:gridCol w:w="258"/>
        <w:gridCol w:w="258"/>
        <w:gridCol w:w="355"/>
        <w:gridCol w:w="361"/>
        <w:gridCol w:w="522"/>
        <w:gridCol w:w="616"/>
      </w:tblGrid>
      <w:tr w14:paraId="2FD57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14"/>
            <w:tcBorders>
              <w:top w:val="nil"/>
              <w:left w:val="nil"/>
              <w:bottom w:val="nil"/>
              <w:right w:val="nil"/>
            </w:tcBorders>
            <w:shd w:val="clear" w:color="auto" w:fill="auto"/>
            <w:vAlign w:val="center"/>
          </w:tcPr>
          <w:p w14:paraId="381FD523">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14:paraId="614888F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18EBF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14"/>
            <w:tcBorders>
              <w:top w:val="nil"/>
              <w:left w:val="nil"/>
              <w:bottom w:val="nil"/>
              <w:right w:val="nil"/>
            </w:tcBorders>
            <w:shd w:val="clear" w:color="auto" w:fill="auto"/>
            <w:vAlign w:val="center"/>
          </w:tcPr>
          <w:p w14:paraId="4A2D67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3AFCA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7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FE34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423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57217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城市管理局专项经费</w:t>
            </w:r>
          </w:p>
        </w:tc>
      </w:tr>
      <w:tr w14:paraId="5DF78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7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437D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155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CF96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乌鲁木齐经济技术开发区（乌鲁木齐市头屯河区）城市管理局</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030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1943"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E638C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乌鲁木齐经济技术开发区（乌鲁木齐市头屯河区）城市管理局</w:t>
            </w:r>
          </w:p>
        </w:tc>
      </w:tr>
      <w:tr w14:paraId="375AB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76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592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AF4511">
            <w:pPr>
              <w:jc w:val="center"/>
              <w:rPr>
                <w:rFonts w:hint="eastAsia" w:ascii="宋体" w:hAnsi="宋体" w:eastAsia="宋体" w:cs="宋体"/>
                <w:i w:val="0"/>
                <w:iCs w:val="0"/>
                <w:color w:val="000000"/>
                <w:sz w:val="20"/>
                <w:szCs w:val="20"/>
                <w:u w:val="none"/>
              </w:rPr>
            </w:pPr>
          </w:p>
        </w:tc>
        <w:tc>
          <w:tcPr>
            <w:tcW w:w="63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B7D0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83C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8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70B8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2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98CE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39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2E1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604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6D708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76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342AA">
            <w:pPr>
              <w:jc w:val="center"/>
              <w:rPr>
                <w:rFonts w:hint="eastAsia" w:ascii="宋体" w:hAnsi="宋体" w:eastAsia="宋体" w:cs="宋体"/>
                <w:i w:val="0"/>
                <w:iCs w:val="0"/>
                <w:color w:val="000000"/>
                <w:sz w:val="20"/>
                <w:szCs w:val="20"/>
                <w:u w:val="none"/>
              </w:rPr>
            </w:pP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DE7B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63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DCF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1281.12</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97F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1281.12</w:t>
            </w:r>
          </w:p>
        </w:tc>
        <w:tc>
          <w:tcPr>
            <w:tcW w:w="8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EE37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1119.57</w:t>
            </w:r>
          </w:p>
        </w:tc>
        <w:tc>
          <w:tcPr>
            <w:tcW w:w="2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9008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39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FF80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87.39%</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85B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8.74分</w:t>
            </w:r>
          </w:p>
        </w:tc>
      </w:tr>
      <w:tr w14:paraId="595D4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76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938B9">
            <w:pPr>
              <w:jc w:val="center"/>
              <w:rPr>
                <w:rFonts w:hint="eastAsia" w:ascii="宋体" w:hAnsi="宋体" w:eastAsia="宋体" w:cs="宋体"/>
                <w:i w:val="0"/>
                <w:iCs w:val="0"/>
                <w:color w:val="000000"/>
                <w:sz w:val="20"/>
                <w:szCs w:val="20"/>
                <w:u w:val="none"/>
              </w:rPr>
            </w:pP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6F72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63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C355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1281.12</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7E7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1281.12</w:t>
            </w:r>
          </w:p>
        </w:tc>
        <w:tc>
          <w:tcPr>
            <w:tcW w:w="8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8481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1119.57</w:t>
            </w:r>
          </w:p>
        </w:tc>
        <w:tc>
          <w:tcPr>
            <w:tcW w:w="2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558F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A987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A30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D1F1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76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EC648">
            <w:pPr>
              <w:jc w:val="center"/>
              <w:rPr>
                <w:rFonts w:hint="eastAsia" w:ascii="宋体" w:hAnsi="宋体" w:eastAsia="宋体" w:cs="宋体"/>
                <w:i w:val="0"/>
                <w:iCs w:val="0"/>
                <w:color w:val="000000"/>
                <w:sz w:val="20"/>
                <w:szCs w:val="20"/>
                <w:u w:val="none"/>
              </w:rPr>
            </w:pP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567C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63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DDDF36">
            <w:pPr>
              <w:jc w:val="center"/>
              <w:rPr>
                <w:rFonts w:hint="eastAsia" w:ascii="宋体" w:hAnsi="宋体" w:eastAsia="宋体" w:cs="宋体"/>
                <w:i w:val="0"/>
                <w:iCs w:val="0"/>
                <w:color w:val="000000"/>
                <w:sz w:val="20"/>
                <w:szCs w:val="20"/>
                <w:u w:val="none"/>
              </w:rPr>
            </w:pP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08604">
            <w:pPr>
              <w:jc w:val="center"/>
              <w:rPr>
                <w:rFonts w:hint="eastAsia" w:ascii="宋体" w:hAnsi="宋体" w:eastAsia="宋体" w:cs="宋体"/>
                <w:i w:val="0"/>
                <w:iCs w:val="0"/>
                <w:color w:val="000000"/>
                <w:sz w:val="20"/>
                <w:szCs w:val="20"/>
                <w:u w:val="none"/>
              </w:rPr>
            </w:pPr>
          </w:p>
        </w:tc>
        <w:tc>
          <w:tcPr>
            <w:tcW w:w="8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3D58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2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AD7D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2DD2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288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58AF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3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007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267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6C8EE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1943"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D8817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2716B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trPr>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B46B4">
            <w:pPr>
              <w:jc w:val="center"/>
              <w:rPr>
                <w:rFonts w:hint="eastAsia" w:ascii="宋体" w:hAnsi="宋体" w:eastAsia="宋体" w:cs="宋体"/>
                <w:i w:val="0"/>
                <w:iCs w:val="0"/>
                <w:color w:val="000000"/>
                <w:sz w:val="20"/>
                <w:szCs w:val="20"/>
                <w:u w:val="none"/>
              </w:rPr>
            </w:pPr>
          </w:p>
        </w:tc>
        <w:tc>
          <w:tcPr>
            <w:tcW w:w="2673" w:type="pct"/>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18A4CA0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路灯日常巡查涉及夜景亮化、确保全区23746盏路灯照明设施、2300个红灯笼、210栋楼体亮化、2座桥体亮化正常运行，根据供电公司每月发行的电费发票，在节点前将电费按时缴纳至供电公司，确保各类照明、景观设施不断电。改善居民生活环境，营造城市氛围感，保障居民出行安全。</w:t>
            </w:r>
          </w:p>
        </w:tc>
        <w:tc>
          <w:tcPr>
            <w:tcW w:w="1943" w:type="pct"/>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43F6997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路灯日常巡查涉及夜景亮化、确保全区23746盏路灯照明设施、2300个红灯笼、210栋楼体亮化、2座桥体亮化正常运行，共计支付项目经费1119.57万元，在节点前将电费按时缴纳至供电公司，确保各类照明、景观设施不断电。改善居民生活环境，营造城市氛围感，保障居民出行安全</w:t>
            </w:r>
          </w:p>
        </w:tc>
      </w:tr>
      <w:tr w14:paraId="5D1A2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E6C947">
            <w:pPr>
              <w:jc w:val="center"/>
              <w:rPr>
                <w:rFonts w:hint="eastAsia" w:ascii="宋体" w:hAnsi="宋体" w:eastAsia="宋体" w:cs="宋体"/>
                <w:i w:val="0"/>
                <w:iCs w:val="0"/>
                <w:color w:val="000000"/>
                <w:sz w:val="20"/>
                <w:szCs w:val="20"/>
                <w:u w:val="none"/>
              </w:rPr>
            </w:pPr>
          </w:p>
        </w:tc>
        <w:tc>
          <w:tcPr>
            <w:tcW w:w="3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6D4D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5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94EE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1019"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7502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7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8F76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7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EB42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28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229A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28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2914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63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65DC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5E252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2EE9B">
            <w:pPr>
              <w:jc w:val="center"/>
              <w:rPr>
                <w:rFonts w:hint="eastAsia" w:ascii="宋体" w:hAnsi="宋体" w:eastAsia="宋体" w:cs="宋体"/>
                <w:i w:val="0"/>
                <w:iCs w:val="0"/>
                <w:color w:val="000000"/>
                <w:sz w:val="20"/>
                <w:szCs w:val="20"/>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35A80">
            <w:pPr>
              <w:jc w:val="center"/>
              <w:rPr>
                <w:rFonts w:hint="eastAsia" w:ascii="宋体" w:hAnsi="宋体" w:eastAsia="宋体" w:cs="宋体"/>
                <w:i w:val="0"/>
                <w:iCs w:val="0"/>
                <w:color w:val="000000"/>
                <w:sz w:val="20"/>
                <w:szCs w:val="20"/>
                <w:u w:val="none"/>
              </w:rPr>
            </w:pPr>
          </w:p>
        </w:tc>
        <w:tc>
          <w:tcPr>
            <w:tcW w:w="5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B9DBE">
            <w:pPr>
              <w:jc w:val="center"/>
              <w:rPr>
                <w:rFonts w:hint="eastAsia" w:ascii="宋体" w:hAnsi="宋体" w:eastAsia="宋体" w:cs="宋体"/>
                <w:i w:val="0"/>
                <w:iCs w:val="0"/>
                <w:color w:val="000000"/>
                <w:sz w:val="20"/>
                <w:szCs w:val="20"/>
                <w:u w:val="none"/>
              </w:rPr>
            </w:pPr>
          </w:p>
        </w:tc>
        <w:tc>
          <w:tcPr>
            <w:tcW w:w="101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775FE">
            <w:pPr>
              <w:jc w:val="center"/>
              <w:rPr>
                <w:rFonts w:hint="eastAsia" w:ascii="宋体" w:hAnsi="宋体" w:eastAsia="宋体" w:cs="宋体"/>
                <w:i w:val="0"/>
                <w:iCs w:val="0"/>
                <w:color w:val="000000"/>
                <w:sz w:val="20"/>
                <w:szCs w:val="20"/>
                <w:u w:val="none"/>
              </w:rPr>
            </w:pP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6F767">
            <w:pPr>
              <w:jc w:val="center"/>
              <w:rPr>
                <w:rFonts w:hint="eastAsia" w:ascii="宋体" w:hAnsi="宋体" w:eastAsia="宋体" w:cs="宋体"/>
                <w:i w:val="0"/>
                <w:iCs w:val="0"/>
                <w:color w:val="000000"/>
                <w:sz w:val="20"/>
                <w:szCs w:val="20"/>
                <w:u w:val="none"/>
              </w:rPr>
            </w:pP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22D6B">
            <w:pPr>
              <w:jc w:val="center"/>
              <w:rPr>
                <w:rFonts w:hint="eastAsia" w:ascii="宋体" w:hAnsi="宋体" w:eastAsia="宋体" w:cs="宋体"/>
                <w:i w:val="0"/>
                <w:iCs w:val="0"/>
                <w:color w:val="000000"/>
                <w:sz w:val="20"/>
                <w:szCs w:val="20"/>
                <w:u w:val="none"/>
              </w:rPr>
            </w:pPr>
          </w:p>
        </w:tc>
        <w:tc>
          <w:tcPr>
            <w:tcW w:w="28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EFB56">
            <w:pPr>
              <w:jc w:val="center"/>
              <w:rPr>
                <w:rFonts w:hint="eastAsia" w:ascii="宋体" w:hAnsi="宋体" w:eastAsia="宋体" w:cs="宋体"/>
                <w:i w:val="0"/>
                <w:iCs w:val="0"/>
                <w:color w:val="000000"/>
                <w:sz w:val="20"/>
                <w:szCs w:val="20"/>
                <w:u w:val="none"/>
              </w:rPr>
            </w:pPr>
          </w:p>
        </w:tc>
        <w:tc>
          <w:tcPr>
            <w:tcW w:w="28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29BA3">
            <w:pPr>
              <w:jc w:val="center"/>
              <w:rPr>
                <w:rFonts w:hint="eastAsia" w:ascii="宋体" w:hAnsi="宋体" w:eastAsia="宋体" w:cs="宋体"/>
                <w:i w:val="0"/>
                <w:iCs w:val="0"/>
                <w:color w:val="000000"/>
                <w:sz w:val="20"/>
                <w:szCs w:val="20"/>
                <w:u w:val="none"/>
              </w:rPr>
            </w:pPr>
          </w:p>
        </w:tc>
        <w:tc>
          <w:tcPr>
            <w:tcW w:w="63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7C5ED">
            <w:pPr>
              <w:jc w:val="center"/>
              <w:rPr>
                <w:rFonts w:hint="eastAsia" w:ascii="宋体" w:hAnsi="宋体" w:eastAsia="宋体" w:cs="宋体"/>
                <w:i w:val="0"/>
                <w:iCs w:val="0"/>
                <w:color w:val="000000"/>
                <w:sz w:val="20"/>
                <w:szCs w:val="20"/>
                <w:u w:val="none"/>
              </w:rPr>
            </w:pPr>
          </w:p>
        </w:tc>
      </w:tr>
      <w:tr w14:paraId="7F49A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F718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3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E21E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5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6206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0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D8C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路灯照明设施数量</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30D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&gt;=23756盏</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1D8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=23756盏</w:t>
            </w:r>
          </w:p>
        </w:tc>
        <w:tc>
          <w:tcPr>
            <w:tcW w:w="28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0CC6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0488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6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B1C224">
            <w:pPr>
              <w:jc w:val="center"/>
              <w:rPr>
                <w:rFonts w:hint="eastAsia" w:ascii="宋体" w:hAnsi="宋体" w:eastAsia="宋体" w:cs="宋体"/>
                <w:i w:val="0"/>
                <w:iCs w:val="0"/>
                <w:color w:val="000000"/>
                <w:sz w:val="20"/>
                <w:szCs w:val="20"/>
                <w:u w:val="none"/>
              </w:rPr>
            </w:pPr>
          </w:p>
        </w:tc>
      </w:tr>
      <w:tr w14:paraId="145CE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226F0">
            <w:pPr>
              <w:jc w:val="center"/>
              <w:rPr>
                <w:rFonts w:hint="eastAsia" w:ascii="宋体" w:hAnsi="宋体" w:eastAsia="宋体" w:cs="宋体"/>
                <w:i w:val="0"/>
                <w:iCs w:val="0"/>
                <w:color w:val="000000"/>
                <w:sz w:val="20"/>
                <w:szCs w:val="20"/>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F118D">
            <w:pPr>
              <w:jc w:val="center"/>
              <w:rPr>
                <w:rFonts w:hint="eastAsia" w:ascii="宋体" w:hAnsi="宋体" w:eastAsia="宋体" w:cs="宋体"/>
                <w:i w:val="0"/>
                <w:iCs w:val="0"/>
                <w:color w:val="000000"/>
                <w:sz w:val="20"/>
                <w:szCs w:val="20"/>
                <w:u w:val="none"/>
              </w:rPr>
            </w:pPr>
          </w:p>
        </w:tc>
        <w:tc>
          <w:tcPr>
            <w:tcW w:w="5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2A380">
            <w:pPr>
              <w:jc w:val="center"/>
              <w:rPr>
                <w:rFonts w:hint="eastAsia" w:ascii="宋体" w:hAnsi="宋体" w:eastAsia="宋体" w:cs="宋体"/>
                <w:i w:val="0"/>
                <w:iCs w:val="0"/>
                <w:color w:val="000000"/>
                <w:sz w:val="20"/>
                <w:szCs w:val="20"/>
                <w:u w:val="none"/>
              </w:rPr>
            </w:pPr>
          </w:p>
        </w:tc>
        <w:tc>
          <w:tcPr>
            <w:tcW w:w="10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275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红灯笼数量</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142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&gt;=2300个</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715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=2300个</w:t>
            </w:r>
          </w:p>
        </w:tc>
        <w:tc>
          <w:tcPr>
            <w:tcW w:w="28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52D6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D94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6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0B5EE3">
            <w:pPr>
              <w:jc w:val="center"/>
              <w:rPr>
                <w:rFonts w:hint="eastAsia" w:ascii="宋体" w:hAnsi="宋体" w:eastAsia="宋体" w:cs="宋体"/>
                <w:i w:val="0"/>
                <w:iCs w:val="0"/>
                <w:color w:val="000000"/>
                <w:sz w:val="20"/>
                <w:szCs w:val="20"/>
                <w:u w:val="none"/>
              </w:rPr>
            </w:pPr>
          </w:p>
        </w:tc>
      </w:tr>
      <w:tr w14:paraId="03E3F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9FE3D">
            <w:pPr>
              <w:jc w:val="center"/>
              <w:rPr>
                <w:rFonts w:hint="eastAsia" w:ascii="宋体" w:hAnsi="宋体" w:eastAsia="宋体" w:cs="宋体"/>
                <w:i w:val="0"/>
                <w:iCs w:val="0"/>
                <w:color w:val="000000"/>
                <w:sz w:val="20"/>
                <w:szCs w:val="20"/>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607F9">
            <w:pPr>
              <w:jc w:val="center"/>
              <w:rPr>
                <w:rFonts w:hint="eastAsia" w:ascii="宋体" w:hAnsi="宋体" w:eastAsia="宋体" w:cs="宋体"/>
                <w:i w:val="0"/>
                <w:iCs w:val="0"/>
                <w:color w:val="000000"/>
                <w:sz w:val="20"/>
                <w:szCs w:val="20"/>
                <w:u w:val="none"/>
              </w:rPr>
            </w:pPr>
          </w:p>
        </w:tc>
        <w:tc>
          <w:tcPr>
            <w:tcW w:w="5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9F5F1">
            <w:pPr>
              <w:jc w:val="center"/>
              <w:rPr>
                <w:rFonts w:hint="eastAsia" w:ascii="宋体" w:hAnsi="宋体" w:eastAsia="宋体" w:cs="宋体"/>
                <w:i w:val="0"/>
                <w:iCs w:val="0"/>
                <w:color w:val="000000"/>
                <w:sz w:val="20"/>
                <w:szCs w:val="20"/>
                <w:u w:val="none"/>
              </w:rPr>
            </w:pPr>
          </w:p>
        </w:tc>
        <w:tc>
          <w:tcPr>
            <w:tcW w:w="10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9F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楼体亮化数量</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478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&gt;=210栋</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15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=210栋</w:t>
            </w:r>
          </w:p>
        </w:tc>
        <w:tc>
          <w:tcPr>
            <w:tcW w:w="28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4CA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9E33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6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5699E2">
            <w:pPr>
              <w:jc w:val="center"/>
              <w:rPr>
                <w:rFonts w:hint="eastAsia" w:ascii="宋体" w:hAnsi="宋体" w:eastAsia="宋体" w:cs="宋体"/>
                <w:i w:val="0"/>
                <w:iCs w:val="0"/>
                <w:color w:val="000000"/>
                <w:sz w:val="20"/>
                <w:szCs w:val="20"/>
                <w:u w:val="none"/>
              </w:rPr>
            </w:pPr>
          </w:p>
        </w:tc>
      </w:tr>
      <w:tr w14:paraId="090EB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CD928">
            <w:pPr>
              <w:jc w:val="center"/>
              <w:rPr>
                <w:rFonts w:hint="eastAsia" w:ascii="宋体" w:hAnsi="宋体" w:eastAsia="宋体" w:cs="宋体"/>
                <w:i w:val="0"/>
                <w:iCs w:val="0"/>
                <w:color w:val="000000"/>
                <w:sz w:val="20"/>
                <w:szCs w:val="20"/>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8FA82">
            <w:pPr>
              <w:jc w:val="center"/>
              <w:rPr>
                <w:rFonts w:hint="eastAsia" w:ascii="宋体" w:hAnsi="宋体" w:eastAsia="宋体" w:cs="宋体"/>
                <w:i w:val="0"/>
                <w:iCs w:val="0"/>
                <w:color w:val="000000"/>
                <w:sz w:val="20"/>
                <w:szCs w:val="20"/>
                <w:u w:val="none"/>
              </w:rPr>
            </w:pPr>
          </w:p>
        </w:tc>
        <w:tc>
          <w:tcPr>
            <w:tcW w:w="5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AE7D2">
            <w:pPr>
              <w:jc w:val="center"/>
              <w:rPr>
                <w:rFonts w:hint="eastAsia" w:ascii="宋体" w:hAnsi="宋体" w:eastAsia="宋体" w:cs="宋体"/>
                <w:i w:val="0"/>
                <w:iCs w:val="0"/>
                <w:color w:val="000000"/>
                <w:sz w:val="20"/>
                <w:szCs w:val="20"/>
                <w:u w:val="none"/>
              </w:rPr>
            </w:pPr>
          </w:p>
        </w:tc>
        <w:tc>
          <w:tcPr>
            <w:tcW w:w="10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3BC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桥体亮化数量</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C3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&gt;=2座</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FBC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=2座</w:t>
            </w:r>
          </w:p>
        </w:tc>
        <w:tc>
          <w:tcPr>
            <w:tcW w:w="28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2F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0861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6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20A510">
            <w:pPr>
              <w:jc w:val="center"/>
              <w:rPr>
                <w:rFonts w:hint="eastAsia" w:ascii="宋体" w:hAnsi="宋体" w:eastAsia="宋体" w:cs="宋体"/>
                <w:i w:val="0"/>
                <w:iCs w:val="0"/>
                <w:color w:val="000000"/>
                <w:sz w:val="20"/>
                <w:szCs w:val="20"/>
                <w:u w:val="none"/>
              </w:rPr>
            </w:pPr>
          </w:p>
        </w:tc>
      </w:tr>
      <w:tr w14:paraId="68816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63D60">
            <w:pPr>
              <w:jc w:val="center"/>
              <w:rPr>
                <w:rFonts w:hint="eastAsia" w:ascii="宋体" w:hAnsi="宋体" w:eastAsia="宋体" w:cs="宋体"/>
                <w:i w:val="0"/>
                <w:iCs w:val="0"/>
                <w:color w:val="000000"/>
                <w:sz w:val="20"/>
                <w:szCs w:val="20"/>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5B9F4">
            <w:pPr>
              <w:jc w:val="center"/>
              <w:rPr>
                <w:rFonts w:hint="eastAsia" w:ascii="宋体" w:hAnsi="宋体" w:eastAsia="宋体" w:cs="宋体"/>
                <w:i w:val="0"/>
                <w:iCs w:val="0"/>
                <w:color w:val="000000"/>
                <w:sz w:val="20"/>
                <w:szCs w:val="20"/>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189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10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E2C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日常巡查覆盖率</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646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AC1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28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D41F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AF0E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BB23D4">
            <w:pPr>
              <w:jc w:val="center"/>
              <w:rPr>
                <w:rFonts w:hint="eastAsia" w:ascii="宋体" w:hAnsi="宋体" w:eastAsia="宋体" w:cs="宋体"/>
                <w:i w:val="0"/>
                <w:iCs w:val="0"/>
                <w:color w:val="000000"/>
                <w:sz w:val="20"/>
                <w:szCs w:val="20"/>
                <w:u w:val="none"/>
              </w:rPr>
            </w:pPr>
          </w:p>
        </w:tc>
      </w:tr>
      <w:tr w14:paraId="12BEC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C85B3">
            <w:pPr>
              <w:jc w:val="center"/>
              <w:rPr>
                <w:rFonts w:hint="eastAsia" w:ascii="宋体" w:hAnsi="宋体" w:eastAsia="宋体" w:cs="宋体"/>
                <w:i w:val="0"/>
                <w:iCs w:val="0"/>
                <w:color w:val="000000"/>
                <w:sz w:val="20"/>
                <w:szCs w:val="20"/>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56737">
            <w:pPr>
              <w:jc w:val="center"/>
              <w:rPr>
                <w:rFonts w:hint="eastAsia" w:ascii="宋体" w:hAnsi="宋体" w:eastAsia="宋体" w:cs="宋体"/>
                <w:i w:val="0"/>
                <w:iCs w:val="0"/>
                <w:color w:val="000000"/>
                <w:sz w:val="20"/>
                <w:szCs w:val="20"/>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AF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0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451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路灯维修按时完成及时率</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10D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150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28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6EB1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09DA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94D3AD">
            <w:pPr>
              <w:jc w:val="center"/>
              <w:rPr>
                <w:rFonts w:hint="eastAsia" w:ascii="宋体" w:hAnsi="宋体" w:eastAsia="宋体" w:cs="宋体"/>
                <w:i w:val="0"/>
                <w:iCs w:val="0"/>
                <w:color w:val="000000"/>
                <w:sz w:val="20"/>
                <w:szCs w:val="20"/>
                <w:u w:val="none"/>
              </w:rPr>
            </w:pPr>
          </w:p>
        </w:tc>
      </w:tr>
      <w:tr w14:paraId="38F0E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24ABA">
            <w:pPr>
              <w:jc w:val="center"/>
              <w:rPr>
                <w:rFonts w:hint="eastAsia" w:ascii="宋体" w:hAnsi="宋体" w:eastAsia="宋体" w:cs="宋体"/>
                <w:i w:val="0"/>
                <w:iCs w:val="0"/>
                <w:color w:val="000000"/>
                <w:sz w:val="20"/>
                <w:szCs w:val="20"/>
                <w:u w:val="none"/>
              </w:rPr>
            </w:pPr>
          </w:p>
        </w:tc>
        <w:tc>
          <w:tcPr>
            <w:tcW w:w="3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AB98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80C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10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0B1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路灯照明、景观亮化电费成本</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CF6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≤1101.12万元</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937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28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D237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EF7B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65B144">
            <w:pPr>
              <w:jc w:val="center"/>
              <w:rPr>
                <w:rFonts w:hint="eastAsia" w:ascii="宋体" w:hAnsi="宋体" w:eastAsia="宋体" w:cs="宋体"/>
                <w:i w:val="0"/>
                <w:iCs w:val="0"/>
                <w:color w:val="000000"/>
                <w:sz w:val="20"/>
                <w:szCs w:val="20"/>
                <w:u w:val="none"/>
              </w:rPr>
            </w:pPr>
          </w:p>
        </w:tc>
      </w:tr>
      <w:tr w14:paraId="41041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E0E92">
            <w:pPr>
              <w:jc w:val="center"/>
              <w:rPr>
                <w:rFonts w:hint="eastAsia" w:ascii="宋体" w:hAnsi="宋体" w:eastAsia="宋体" w:cs="宋体"/>
                <w:i w:val="0"/>
                <w:iCs w:val="0"/>
                <w:color w:val="000000"/>
                <w:sz w:val="20"/>
                <w:szCs w:val="20"/>
                <w:u w:val="none"/>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B8089">
            <w:pPr>
              <w:jc w:val="center"/>
              <w:rPr>
                <w:rFonts w:hint="eastAsia" w:ascii="宋体" w:hAnsi="宋体" w:eastAsia="宋体" w:cs="宋体"/>
                <w:i w:val="0"/>
                <w:iCs w:val="0"/>
                <w:color w:val="000000"/>
                <w:sz w:val="20"/>
                <w:szCs w:val="20"/>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762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社会成本指标</w:t>
            </w:r>
          </w:p>
        </w:tc>
        <w:tc>
          <w:tcPr>
            <w:tcW w:w="10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1E6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高铁路灯电费支出成本</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F74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≤180万元</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92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=34.28%</w:t>
            </w:r>
          </w:p>
        </w:tc>
        <w:tc>
          <w:tcPr>
            <w:tcW w:w="28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988B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2B92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0.62</w:t>
            </w:r>
          </w:p>
        </w:tc>
        <w:tc>
          <w:tcPr>
            <w:tcW w:w="6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D461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区公共照明设施2024年12月电费及高铁集团3-12月电费。高铁集团未及时提交电费资料，12月电费次月出账。影响了正常支付工作。后续提前做好资金支付准备，按期支付资金</w:t>
            </w:r>
          </w:p>
        </w:tc>
      </w:tr>
      <w:tr w14:paraId="6A772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C7024">
            <w:pPr>
              <w:jc w:val="center"/>
              <w:rPr>
                <w:rFonts w:hint="eastAsia" w:ascii="宋体" w:hAnsi="宋体" w:eastAsia="宋体" w:cs="宋体"/>
                <w:i w:val="0"/>
                <w:iCs w:val="0"/>
                <w:color w:val="000000"/>
                <w:sz w:val="20"/>
                <w:szCs w:val="20"/>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EE7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08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10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E7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改善辖区居民生活环境</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D0E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有效改善</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785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有效改善</w:t>
            </w:r>
          </w:p>
        </w:tc>
        <w:tc>
          <w:tcPr>
            <w:tcW w:w="28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4A51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EF73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2B6061">
            <w:pPr>
              <w:jc w:val="center"/>
              <w:rPr>
                <w:rFonts w:hint="eastAsia" w:ascii="宋体" w:hAnsi="宋体" w:eastAsia="宋体" w:cs="宋体"/>
                <w:i w:val="0"/>
                <w:iCs w:val="0"/>
                <w:color w:val="000000"/>
                <w:sz w:val="20"/>
                <w:szCs w:val="20"/>
                <w:u w:val="none"/>
              </w:rPr>
            </w:pPr>
          </w:p>
        </w:tc>
      </w:tr>
      <w:tr w14:paraId="4BD57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A25AB">
            <w:pPr>
              <w:jc w:val="center"/>
              <w:rPr>
                <w:rFonts w:hint="eastAsia" w:ascii="宋体" w:hAnsi="宋体" w:eastAsia="宋体" w:cs="宋体"/>
                <w:i w:val="0"/>
                <w:iCs w:val="0"/>
                <w:color w:val="000000"/>
                <w:sz w:val="20"/>
                <w:szCs w:val="20"/>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354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90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01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26E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辖区居民满意度</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FD8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&gt;=96%</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9FC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28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0974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6CE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D82EA4">
            <w:pPr>
              <w:jc w:val="center"/>
              <w:rPr>
                <w:rFonts w:hint="eastAsia" w:ascii="宋体" w:hAnsi="宋体" w:eastAsia="宋体" w:cs="宋体"/>
                <w:i w:val="0"/>
                <w:iCs w:val="0"/>
                <w:color w:val="000000"/>
                <w:sz w:val="20"/>
                <w:szCs w:val="20"/>
                <w:u w:val="none"/>
              </w:rPr>
            </w:pPr>
          </w:p>
        </w:tc>
      </w:tr>
      <w:tr w14:paraId="68086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E954E">
            <w:pPr>
              <w:jc w:val="center"/>
              <w:rPr>
                <w:rFonts w:hint="eastAsia" w:ascii="宋体" w:hAnsi="宋体" w:eastAsia="宋体" w:cs="宋体"/>
                <w:i w:val="0"/>
                <w:iCs w:val="0"/>
                <w:color w:val="000000"/>
                <w:sz w:val="20"/>
                <w:szCs w:val="20"/>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1349E">
            <w:pPr>
              <w:jc w:val="center"/>
              <w:rPr>
                <w:rFonts w:hint="eastAsia" w:ascii="宋体" w:hAnsi="宋体" w:eastAsia="宋体" w:cs="宋体"/>
                <w:i w:val="0"/>
                <w:iCs w:val="0"/>
                <w:color w:val="000000"/>
                <w:sz w:val="20"/>
                <w:szCs w:val="20"/>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FD5C3">
            <w:pPr>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single" w:color="000000" w:sz="4" w:space="0"/>
              <w:right w:val="nil"/>
            </w:tcBorders>
            <w:shd w:val="clear" w:color="auto" w:fill="auto"/>
            <w:noWrap/>
            <w:vAlign w:val="center"/>
          </w:tcPr>
          <w:p w14:paraId="79E1F873">
            <w:pPr>
              <w:jc w:val="left"/>
              <w:rPr>
                <w:rFonts w:hint="eastAsia" w:ascii="宋体" w:hAnsi="宋体" w:eastAsia="宋体" w:cs="宋体"/>
                <w:i w:val="0"/>
                <w:iCs w:val="0"/>
                <w:color w:val="000000"/>
                <w:sz w:val="20"/>
                <w:szCs w:val="20"/>
                <w:u w:val="none"/>
              </w:rPr>
            </w:pPr>
          </w:p>
        </w:tc>
        <w:tc>
          <w:tcPr>
            <w:tcW w:w="401" w:type="pct"/>
            <w:tcBorders>
              <w:top w:val="single" w:color="000000" w:sz="4" w:space="0"/>
              <w:left w:val="nil"/>
              <w:bottom w:val="single" w:color="000000" w:sz="4" w:space="0"/>
              <w:right w:val="nil"/>
            </w:tcBorders>
            <w:shd w:val="clear" w:color="auto" w:fill="auto"/>
            <w:noWrap/>
            <w:vAlign w:val="center"/>
          </w:tcPr>
          <w:p w14:paraId="226A76E9">
            <w:pPr>
              <w:jc w:val="left"/>
              <w:rPr>
                <w:rFonts w:hint="eastAsia" w:ascii="宋体" w:hAnsi="宋体" w:eastAsia="宋体" w:cs="宋体"/>
                <w:i w:val="0"/>
                <w:iCs w:val="0"/>
                <w:color w:val="000000"/>
                <w:sz w:val="20"/>
                <w:szCs w:val="20"/>
                <w:u w:val="none"/>
              </w:rPr>
            </w:pPr>
          </w:p>
        </w:tc>
        <w:tc>
          <w:tcPr>
            <w:tcW w:w="228" w:type="pct"/>
            <w:tcBorders>
              <w:top w:val="single" w:color="000000" w:sz="4" w:space="0"/>
              <w:left w:val="nil"/>
              <w:bottom w:val="single" w:color="000000" w:sz="4" w:space="0"/>
              <w:right w:val="single" w:color="000000" w:sz="4" w:space="0"/>
            </w:tcBorders>
            <w:shd w:val="clear" w:color="auto" w:fill="auto"/>
            <w:noWrap/>
            <w:vAlign w:val="center"/>
          </w:tcPr>
          <w:p w14:paraId="36D5ECD5">
            <w:pPr>
              <w:jc w:val="left"/>
              <w:rPr>
                <w:rFonts w:hint="eastAsia" w:ascii="宋体" w:hAnsi="宋体" w:eastAsia="宋体" w:cs="宋体"/>
                <w:i w:val="0"/>
                <w:iCs w:val="0"/>
                <w:color w:val="000000"/>
                <w:sz w:val="20"/>
                <w:szCs w:val="20"/>
                <w:u w:val="none"/>
              </w:rPr>
            </w:pP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816D6">
            <w:pPr>
              <w:jc w:val="center"/>
              <w:rPr>
                <w:rFonts w:hint="eastAsia" w:ascii="宋体" w:hAnsi="宋体" w:eastAsia="宋体" w:cs="宋体"/>
                <w:i w:val="0"/>
                <w:iCs w:val="0"/>
                <w:color w:val="000000"/>
                <w:sz w:val="20"/>
                <w:szCs w:val="20"/>
                <w:u w:val="none"/>
              </w:rPr>
            </w:pP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D4BF6">
            <w:pPr>
              <w:jc w:val="center"/>
              <w:rPr>
                <w:rFonts w:hint="eastAsia" w:ascii="宋体" w:hAnsi="宋体" w:eastAsia="宋体" w:cs="宋体"/>
                <w:i w:val="0"/>
                <w:iCs w:val="0"/>
                <w:color w:val="000000"/>
                <w:sz w:val="20"/>
                <w:szCs w:val="20"/>
                <w:u w:val="none"/>
              </w:rPr>
            </w:pPr>
          </w:p>
        </w:tc>
        <w:tc>
          <w:tcPr>
            <w:tcW w:w="144" w:type="pct"/>
            <w:tcBorders>
              <w:top w:val="single" w:color="000000" w:sz="4" w:space="0"/>
              <w:left w:val="single" w:color="000000" w:sz="4" w:space="0"/>
              <w:bottom w:val="single" w:color="000000" w:sz="4" w:space="0"/>
              <w:right w:val="nil"/>
            </w:tcBorders>
            <w:shd w:val="clear" w:color="auto" w:fill="auto"/>
            <w:vAlign w:val="center"/>
          </w:tcPr>
          <w:p w14:paraId="221C3598">
            <w:pPr>
              <w:jc w:val="center"/>
              <w:rPr>
                <w:rFonts w:hint="eastAsia" w:ascii="宋体" w:hAnsi="宋体" w:eastAsia="宋体" w:cs="宋体"/>
                <w:i w:val="0"/>
                <w:iCs w:val="0"/>
                <w:color w:val="000000"/>
                <w:sz w:val="20"/>
                <w:szCs w:val="20"/>
                <w:u w:val="none"/>
              </w:rPr>
            </w:pPr>
          </w:p>
        </w:tc>
        <w:tc>
          <w:tcPr>
            <w:tcW w:w="143" w:type="pct"/>
            <w:tcBorders>
              <w:top w:val="single" w:color="000000" w:sz="4" w:space="0"/>
              <w:left w:val="nil"/>
              <w:bottom w:val="single" w:color="000000" w:sz="4" w:space="0"/>
              <w:right w:val="single" w:color="000000" w:sz="4" w:space="0"/>
            </w:tcBorders>
            <w:shd w:val="clear" w:color="auto" w:fill="auto"/>
            <w:vAlign w:val="center"/>
          </w:tcPr>
          <w:p w14:paraId="5624FFB9">
            <w:pPr>
              <w:jc w:val="center"/>
              <w:rPr>
                <w:rFonts w:hint="eastAsia" w:ascii="宋体" w:hAnsi="宋体" w:eastAsia="宋体" w:cs="宋体"/>
                <w:i w:val="0"/>
                <w:iCs w:val="0"/>
                <w:color w:val="000000"/>
                <w:sz w:val="20"/>
                <w:szCs w:val="20"/>
                <w:u w:val="none"/>
              </w:rPr>
            </w:pPr>
          </w:p>
        </w:tc>
        <w:tc>
          <w:tcPr>
            <w:tcW w:w="139" w:type="pct"/>
            <w:tcBorders>
              <w:top w:val="single" w:color="000000" w:sz="4" w:space="0"/>
              <w:left w:val="single" w:color="000000" w:sz="4" w:space="0"/>
              <w:bottom w:val="single" w:color="000000" w:sz="4" w:space="0"/>
              <w:right w:val="nil"/>
            </w:tcBorders>
            <w:shd w:val="clear" w:color="auto" w:fill="auto"/>
            <w:vAlign w:val="center"/>
          </w:tcPr>
          <w:p w14:paraId="11E354F3">
            <w:pPr>
              <w:jc w:val="center"/>
              <w:rPr>
                <w:rFonts w:hint="eastAsia" w:ascii="宋体" w:hAnsi="宋体" w:eastAsia="宋体" w:cs="宋体"/>
                <w:i w:val="0"/>
                <w:iCs w:val="0"/>
                <w:color w:val="000000"/>
                <w:sz w:val="20"/>
                <w:szCs w:val="20"/>
                <w:u w:val="none"/>
              </w:rPr>
            </w:pPr>
          </w:p>
        </w:tc>
        <w:tc>
          <w:tcPr>
            <w:tcW w:w="140" w:type="pct"/>
            <w:tcBorders>
              <w:top w:val="single" w:color="000000" w:sz="4" w:space="0"/>
              <w:left w:val="nil"/>
              <w:bottom w:val="single" w:color="000000" w:sz="4" w:space="0"/>
              <w:right w:val="single" w:color="000000" w:sz="4" w:space="0"/>
            </w:tcBorders>
            <w:shd w:val="clear" w:color="auto" w:fill="auto"/>
            <w:vAlign w:val="center"/>
          </w:tcPr>
          <w:p w14:paraId="57A1B61A">
            <w:pPr>
              <w:jc w:val="center"/>
              <w:rPr>
                <w:rFonts w:hint="eastAsia" w:ascii="宋体" w:hAnsi="宋体" w:eastAsia="宋体" w:cs="宋体"/>
                <w:i w:val="0"/>
                <w:iCs w:val="0"/>
                <w:color w:val="000000"/>
                <w:sz w:val="20"/>
                <w:szCs w:val="20"/>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6225A">
            <w:pPr>
              <w:jc w:val="center"/>
              <w:rPr>
                <w:rFonts w:hint="eastAsia" w:ascii="宋体" w:hAnsi="宋体" w:eastAsia="宋体" w:cs="宋体"/>
                <w:i w:val="0"/>
                <w:iCs w:val="0"/>
                <w:color w:val="000000"/>
                <w:sz w:val="20"/>
                <w:szCs w:val="20"/>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8F6BA">
            <w:pPr>
              <w:jc w:val="center"/>
              <w:rPr>
                <w:rFonts w:hint="eastAsia" w:ascii="宋体" w:hAnsi="宋体" w:eastAsia="宋体" w:cs="宋体"/>
                <w:i w:val="0"/>
                <w:iCs w:val="0"/>
                <w:color w:val="000000"/>
                <w:sz w:val="20"/>
                <w:szCs w:val="20"/>
                <w:u w:val="none"/>
              </w:rPr>
            </w:pPr>
          </w:p>
        </w:tc>
      </w:tr>
      <w:tr w14:paraId="43E8C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3794"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0FF90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28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0931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2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88CA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89.36分</w:t>
            </w:r>
          </w:p>
        </w:tc>
        <w:tc>
          <w:tcPr>
            <w:tcW w:w="6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7EE878">
            <w:pPr>
              <w:jc w:val="center"/>
              <w:rPr>
                <w:rFonts w:hint="eastAsia" w:ascii="宋体" w:hAnsi="宋体" w:eastAsia="宋体" w:cs="宋体"/>
                <w:i w:val="0"/>
                <w:iCs w:val="0"/>
                <w:color w:val="000000"/>
                <w:sz w:val="20"/>
                <w:szCs w:val="20"/>
                <w:u w:val="none"/>
              </w:rPr>
            </w:pPr>
          </w:p>
        </w:tc>
      </w:tr>
      <w:tr w14:paraId="3920C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765" w:type="pct"/>
            <w:gridSpan w:val="2"/>
            <w:tcBorders>
              <w:top w:val="single" w:color="000000" w:sz="4" w:space="0"/>
              <w:left w:val="nil"/>
              <w:bottom w:val="nil"/>
              <w:right w:val="nil"/>
            </w:tcBorders>
            <w:shd w:val="clear" w:color="auto" w:fill="auto"/>
            <w:vAlign w:val="center"/>
          </w:tcPr>
          <w:p w14:paraId="17AD246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经办人：</w:t>
            </w:r>
          </w:p>
        </w:tc>
        <w:tc>
          <w:tcPr>
            <w:tcW w:w="1324" w:type="pct"/>
            <w:gridSpan w:val="3"/>
            <w:tcBorders>
              <w:top w:val="single" w:color="000000" w:sz="4" w:space="0"/>
              <w:left w:val="nil"/>
              <w:bottom w:val="nil"/>
              <w:right w:val="nil"/>
            </w:tcBorders>
            <w:shd w:val="clear" w:color="auto" w:fill="auto"/>
            <w:vAlign w:val="center"/>
          </w:tcPr>
          <w:p w14:paraId="0A2C5D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肖先生</w:t>
            </w:r>
          </w:p>
        </w:tc>
        <w:tc>
          <w:tcPr>
            <w:tcW w:w="1848" w:type="pct"/>
            <w:gridSpan w:val="4"/>
            <w:tcBorders>
              <w:top w:val="single" w:color="000000" w:sz="4" w:space="0"/>
              <w:left w:val="nil"/>
              <w:bottom w:val="nil"/>
              <w:right w:val="nil"/>
            </w:tcBorders>
            <w:shd w:val="clear" w:color="auto" w:fill="auto"/>
            <w:vAlign w:val="center"/>
          </w:tcPr>
          <w:p w14:paraId="4240113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1061" w:type="pct"/>
            <w:gridSpan w:val="5"/>
            <w:tcBorders>
              <w:top w:val="single" w:color="000000" w:sz="4" w:space="0"/>
              <w:left w:val="nil"/>
              <w:bottom w:val="nil"/>
              <w:right w:val="nil"/>
            </w:tcBorders>
            <w:shd w:val="clear" w:color="auto" w:fill="auto"/>
            <w:vAlign w:val="center"/>
          </w:tcPr>
          <w:p w14:paraId="40441143">
            <w:pPr>
              <w:jc w:val="left"/>
              <w:rPr>
                <w:rFonts w:hint="eastAsia" w:ascii="宋体" w:hAnsi="宋体" w:eastAsia="宋体" w:cs="宋体"/>
                <w:i w:val="0"/>
                <w:iCs w:val="0"/>
                <w:color w:val="000000"/>
                <w:sz w:val="20"/>
                <w:szCs w:val="20"/>
                <w:u w:val="none"/>
              </w:rPr>
            </w:pPr>
          </w:p>
        </w:tc>
      </w:tr>
      <w:tr w14:paraId="2876A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765" w:type="pct"/>
            <w:gridSpan w:val="2"/>
            <w:tcBorders>
              <w:top w:val="nil"/>
              <w:left w:val="nil"/>
              <w:bottom w:val="nil"/>
              <w:right w:val="nil"/>
            </w:tcBorders>
            <w:shd w:val="clear" w:color="auto" w:fill="auto"/>
            <w:noWrap/>
            <w:vAlign w:val="center"/>
          </w:tcPr>
          <w:p w14:paraId="7E06E7B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联系人：</w:t>
            </w:r>
          </w:p>
        </w:tc>
        <w:tc>
          <w:tcPr>
            <w:tcW w:w="1324" w:type="pct"/>
            <w:gridSpan w:val="3"/>
            <w:tcBorders>
              <w:top w:val="nil"/>
              <w:left w:val="nil"/>
              <w:bottom w:val="nil"/>
              <w:right w:val="nil"/>
            </w:tcBorders>
            <w:shd w:val="clear" w:color="auto" w:fill="auto"/>
            <w:noWrap/>
            <w:vAlign w:val="center"/>
          </w:tcPr>
          <w:p w14:paraId="545DEA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张先生</w:t>
            </w:r>
          </w:p>
        </w:tc>
        <w:tc>
          <w:tcPr>
            <w:tcW w:w="1848" w:type="pct"/>
            <w:gridSpan w:val="4"/>
            <w:tcBorders>
              <w:top w:val="nil"/>
              <w:left w:val="nil"/>
              <w:bottom w:val="nil"/>
              <w:right w:val="nil"/>
            </w:tcBorders>
            <w:shd w:val="clear" w:color="auto" w:fill="auto"/>
            <w:noWrap/>
            <w:vAlign w:val="center"/>
          </w:tcPr>
          <w:p w14:paraId="55792F1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1061" w:type="pct"/>
            <w:gridSpan w:val="5"/>
            <w:tcBorders>
              <w:top w:val="nil"/>
              <w:left w:val="nil"/>
              <w:bottom w:val="nil"/>
              <w:right w:val="nil"/>
            </w:tcBorders>
            <w:shd w:val="clear" w:color="auto" w:fill="auto"/>
            <w:noWrap/>
            <w:vAlign w:val="center"/>
          </w:tcPr>
          <w:p w14:paraId="49DC49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18999941815</w:t>
            </w:r>
          </w:p>
        </w:tc>
      </w:tr>
    </w:tbl>
    <w:p w14:paraId="14639B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377EFE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sz w:val="32"/>
          <w:szCs w:val="32"/>
        </w:rPr>
      </w:pPr>
    </w:p>
    <w:p w14:paraId="5B324FD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十二、其他需说明的事项</w:t>
      </w:r>
    </w:p>
    <w:p w14:paraId="098A362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本单位无其他需说明事项。</w:t>
      </w:r>
    </w:p>
    <w:p w14:paraId="35F24BD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rPr>
          <w:rFonts w:hint="default" w:ascii="Times New Roman" w:hAnsi="Times New Roman" w:eastAsia="仿宋_GB2312" w:cs="Times New Roman"/>
          <w:sz w:val="32"/>
          <w:szCs w:val="32"/>
        </w:rPr>
      </w:pPr>
    </w:p>
    <w:p w14:paraId="72C8BF69">
      <w:pPr>
        <w:keepNext w:val="0"/>
        <w:keepLines w:val="0"/>
        <w:pageBreakBefore w:val="0"/>
        <w:widowControl/>
        <w:kinsoku/>
        <w:wordWrap/>
        <w:overflowPunct/>
        <w:topLinePunct w:val="0"/>
        <w:autoSpaceDE/>
        <w:autoSpaceDN/>
        <w:bidi w:val="0"/>
        <w:adjustRightInd/>
        <w:snapToGrid/>
        <w:spacing w:line="560" w:lineRule="exact"/>
        <w:rPr>
          <w:rFonts w:hint="default" w:ascii="Times New Roman" w:hAnsi="Times New Roman" w:cs="Times New Roman"/>
        </w:rPr>
      </w:pPr>
      <w:r>
        <w:rPr>
          <w:rFonts w:hint="default" w:ascii="Times New Roman" w:hAnsi="Times New Roman" w:cs="Times New Roman"/>
          <w:b w:val="0"/>
          <w:sz w:val="0"/>
          <w:szCs w:val="0"/>
        </w:rPr>
        <w:br w:type="page"/>
      </w:r>
    </w:p>
    <w:p w14:paraId="257F0FB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outlineLvl w:val="0"/>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第三部分 专业名词解释</w:t>
      </w:r>
    </w:p>
    <w:p w14:paraId="54F6F07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一、财政拨款收入：</w:t>
      </w:r>
      <w:r>
        <w:rPr>
          <w:rFonts w:hint="default" w:ascii="Times New Roman" w:hAnsi="Times New Roman" w:eastAsia="仿宋_GB2312" w:cs="Times New Roman"/>
          <w:b w:val="0"/>
          <w:sz w:val="32"/>
          <w:szCs w:val="32"/>
        </w:rPr>
        <w:t>指同级财政当年拨付的资金。</w:t>
      </w:r>
    </w:p>
    <w:p w14:paraId="1F3FD85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二、上级补助收入：</w:t>
      </w:r>
      <w:r>
        <w:rPr>
          <w:rFonts w:hint="default" w:ascii="Times New Roman" w:hAnsi="Times New Roman" w:eastAsia="仿宋_GB2312" w:cs="Times New Roman"/>
          <w:b w:val="0"/>
          <w:sz w:val="32"/>
          <w:szCs w:val="32"/>
        </w:rPr>
        <w:t>指事业单位从主管部门和上级单位取得的非财政补助收入。</w:t>
      </w:r>
    </w:p>
    <w:p w14:paraId="453098B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三、事业收入：</w:t>
      </w:r>
      <w:r>
        <w:rPr>
          <w:rFonts w:hint="default" w:ascii="Times New Roman" w:hAnsi="Times New Roman" w:eastAsia="仿宋_GB2312" w:cs="Times New Roman"/>
          <w:b w:val="0"/>
          <w:sz w:val="32"/>
          <w:szCs w:val="32"/>
        </w:rPr>
        <w:t>指事业单位开展专业业务活动及其辅助活动所取得的收入。</w:t>
      </w:r>
    </w:p>
    <w:p w14:paraId="728D957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四、经营收入：</w:t>
      </w:r>
      <w:r>
        <w:rPr>
          <w:rFonts w:hint="default" w:ascii="Times New Roman" w:hAnsi="Times New Roman" w:eastAsia="仿宋_GB2312" w:cs="Times New Roman"/>
          <w:b w:val="0"/>
          <w:sz w:val="32"/>
          <w:szCs w:val="32"/>
        </w:rPr>
        <w:t>指事业单位在专业业务活动及其辅助活动之外开展非独立核算经营活动取得的收入。</w:t>
      </w:r>
    </w:p>
    <w:p w14:paraId="15794C8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五、附属单位上缴收入：</w:t>
      </w:r>
      <w:r>
        <w:rPr>
          <w:rFonts w:hint="default" w:ascii="Times New Roman" w:hAnsi="Times New Roman" w:eastAsia="仿宋_GB2312" w:cs="Times New Roman"/>
          <w:b w:val="0"/>
          <w:sz w:val="32"/>
          <w:szCs w:val="32"/>
        </w:rPr>
        <w:t>指事业单位附属的独立核算单位按有关规定上缴的收入。</w:t>
      </w:r>
    </w:p>
    <w:p w14:paraId="6814058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六、其他收入：</w:t>
      </w:r>
      <w:r>
        <w:rPr>
          <w:rFonts w:hint="default" w:ascii="Times New Roman" w:hAnsi="Times New Roman" w:eastAsia="仿宋_GB2312" w:cs="Times New Roman"/>
          <w:b w:val="0"/>
          <w:sz w:val="32"/>
          <w:szCs w:val="32"/>
        </w:rPr>
        <w:t>指除上述“财政拨款收入”、“事业收入”、“经营收入”、“附属单位上缴收入”等之外取得的收入。</w:t>
      </w:r>
    </w:p>
    <w:p w14:paraId="11A1176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七、年初结转和结余：</w:t>
      </w:r>
      <w:r>
        <w:rPr>
          <w:rFonts w:hint="default" w:ascii="Times New Roman" w:hAnsi="Times New Roman" w:eastAsia="仿宋_GB2312" w:cs="Times New Roman"/>
          <w:b w:val="0"/>
          <w:sz w:val="32"/>
          <w:szCs w:val="32"/>
        </w:rPr>
        <w:t>指以前年度支出预算因客观条件变化未执行完毕、结转到本年度按有关规定继续使用的资金，既包括财政拨款结转和结余，也包括事业收入、经营收入、其他收入的结转和结余。</w:t>
      </w:r>
    </w:p>
    <w:p w14:paraId="6CBA570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八、年末结转和结余：</w:t>
      </w:r>
      <w:r>
        <w:rPr>
          <w:rFonts w:hint="default" w:ascii="Times New Roman" w:hAnsi="Times New Roman" w:eastAsia="仿宋_GB2312" w:cs="Times New Roman"/>
          <w:b w:val="0"/>
          <w:sz w:val="32"/>
          <w:szCs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5C04745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九、基本支出：</w:t>
      </w:r>
      <w:r>
        <w:rPr>
          <w:rFonts w:hint="default" w:ascii="Times New Roman" w:hAnsi="Times New Roman" w:eastAsia="仿宋_GB2312" w:cs="Times New Roman"/>
          <w:b w:val="0"/>
          <w:sz w:val="32"/>
          <w:szCs w:val="32"/>
        </w:rPr>
        <w:t>指为保障机构正常运转、完成日常工作任务而发生的人员支出和公用支出。</w:t>
      </w:r>
    </w:p>
    <w:p w14:paraId="4F9B24F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十、项目支出：</w:t>
      </w:r>
      <w:r>
        <w:rPr>
          <w:rFonts w:hint="default" w:ascii="Times New Roman" w:hAnsi="Times New Roman" w:eastAsia="仿宋_GB2312" w:cs="Times New Roman"/>
          <w:b w:val="0"/>
          <w:sz w:val="32"/>
          <w:szCs w:val="32"/>
        </w:rPr>
        <w:t>指在基本支出之外为完成特定行政任务和事业发展目标所发生的支出。</w:t>
      </w:r>
    </w:p>
    <w:p w14:paraId="4CFF3A3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十一、经营支出：</w:t>
      </w:r>
      <w:r>
        <w:rPr>
          <w:rFonts w:hint="default" w:ascii="Times New Roman" w:hAnsi="Times New Roman" w:eastAsia="仿宋_GB2312" w:cs="Times New Roman"/>
          <w:b w:val="0"/>
          <w:sz w:val="32"/>
          <w:szCs w:val="32"/>
        </w:rPr>
        <w:t>指事业单位在专业业务活动及其辅助活动之外开展非独立核算经营活动发生的支出。</w:t>
      </w:r>
    </w:p>
    <w:p w14:paraId="620025D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十二、对附属单位补助支出：</w:t>
      </w:r>
      <w:r>
        <w:rPr>
          <w:rFonts w:hint="default" w:ascii="Times New Roman" w:hAnsi="Times New Roman" w:eastAsia="仿宋_GB2312" w:cs="Times New Roman"/>
          <w:b w:val="0"/>
          <w:sz w:val="32"/>
          <w:szCs w:val="32"/>
        </w:rPr>
        <w:t>指事业单位发生的用非财政预算资金对附属单位的补助支出。</w:t>
      </w:r>
    </w:p>
    <w:p w14:paraId="507A4F6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十三、“三公”经费：</w:t>
      </w:r>
      <w:r>
        <w:rPr>
          <w:rFonts w:hint="default" w:ascii="Times New Roman" w:hAnsi="Times New Roman" w:eastAsia="仿宋_GB2312" w:cs="Times New Roman"/>
          <w:b w:val="0"/>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DC6787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十四、机关运行经费：</w:t>
      </w:r>
      <w:r>
        <w:rPr>
          <w:rFonts w:hint="default" w:ascii="Times New Roman" w:hAnsi="Times New Roman" w:eastAsia="仿宋_GB2312" w:cs="Times New Roman"/>
          <w:b w:val="0"/>
          <w:sz w:val="32"/>
          <w:szCs w:val="32"/>
        </w:rPr>
        <w:t>行政单位和参照公务员法管理的事业单位财政拨款基本支出中的公用经费支出。</w:t>
      </w:r>
    </w:p>
    <w:p w14:paraId="40BBF631">
      <w:pPr>
        <w:keepNext w:val="0"/>
        <w:keepLines w:val="0"/>
        <w:pageBreakBefore w:val="0"/>
        <w:widowControl/>
        <w:kinsoku/>
        <w:wordWrap/>
        <w:overflowPunct/>
        <w:topLinePunct w:val="0"/>
        <w:autoSpaceDE/>
        <w:autoSpaceDN/>
        <w:bidi w:val="0"/>
        <w:adjustRightInd/>
        <w:snapToGrid/>
        <w:spacing w:line="560" w:lineRule="exact"/>
        <w:rPr>
          <w:rFonts w:hint="default" w:ascii="Times New Roman" w:hAnsi="Times New Roman" w:cs="Times New Roman"/>
        </w:rPr>
      </w:pPr>
      <w:r>
        <w:rPr>
          <w:rFonts w:hint="default" w:ascii="Times New Roman" w:hAnsi="Times New Roman" w:cs="Times New Roman"/>
          <w:b w:val="0"/>
          <w:sz w:val="0"/>
          <w:szCs w:val="0"/>
        </w:rPr>
        <w:br w:type="page"/>
      </w:r>
    </w:p>
    <w:p w14:paraId="55C0801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outlineLvl w:val="0"/>
        <w:rPr>
          <w:rFonts w:hint="default" w:ascii="Times New Roman" w:hAnsi="Times New Roman" w:eastAsia="黑体" w:cs="Times New Roman"/>
          <w:sz w:val="32"/>
          <w:szCs w:val="32"/>
        </w:rPr>
      </w:pPr>
      <w:r>
        <w:rPr>
          <w:rFonts w:hint="default" w:ascii="Times New Roman" w:hAnsi="Times New Roman" w:eastAsia="黑体" w:cs="Times New Roman"/>
          <w:b w:val="0"/>
          <w:sz w:val="32"/>
          <w:szCs w:val="32"/>
        </w:rPr>
        <w:t>第四部分 部门决算报表（见附表）</w:t>
      </w:r>
    </w:p>
    <w:p w14:paraId="2CEFED7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一、《收入支出决算总表》</w:t>
      </w:r>
    </w:p>
    <w:p w14:paraId="1C92513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二、《收入决算表》</w:t>
      </w:r>
    </w:p>
    <w:p w14:paraId="76907AC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三、《支出决算表》</w:t>
      </w:r>
    </w:p>
    <w:p w14:paraId="4993BC9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四、《财政拨款收入支出决算总表》</w:t>
      </w:r>
    </w:p>
    <w:p w14:paraId="464FB55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五、《一般公共预算财政拨款支出决算表》</w:t>
      </w:r>
    </w:p>
    <w:p w14:paraId="3E84199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六、《一般公共预算财政拨款基本支出决算表》</w:t>
      </w:r>
    </w:p>
    <w:p w14:paraId="2442E0A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七、《政府性基金预算财政拨款收入支出决算表》</w:t>
      </w:r>
    </w:p>
    <w:p w14:paraId="268BBF2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八、《国有资本经营预算财政拨款收入支出决算表》</w:t>
      </w:r>
    </w:p>
    <w:p w14:paraId="3C8418D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九、《财政拨款“三公”经费支出决算表》</w:t>
      </w:r>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E6AB13"/>
    <w:multiLevelType w:val="singleLevel"/>
    <w:tmpl w:val="88E6AB1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6A70517"/>
    <w:rsid w:val="08D7652F"/>
    <w:rsid w:val="0FBD2591"/>
    <w:rsid w:val="2140636C"/>
    <w:rsid w:val="233D2675"/>
    <w:rsid w:val="2EB3465D"/>
    <w:rsid w:val="35150783"/>
    <w:rsid w:val="43C66110"/>
    <w:rsid w:val="474742AA"/>
    <w:rsid w:val="47BE2768"/>
    <w:rsid w:val="577F481A"/>
    <w:rsid w:val="5ACA3ADB"/>
    <w:rsid w:val="5C6E131F"/>
    <w:rsid w:val="628D632D"/>
    <w:rsid w:val="65F53A1C"/>
    <w:rsid w:val="691C4781"/>
    <w:rsid w:val="718F029E"/>
    <w:rsid w:val="764B1B6C"/>
    <w:rsid w:val="772461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List"/>
    <w:basedOn w:val="1"/>
    <w:unhideWhenUsed/>
    <w:qFormat/>
    <w:uiPriority w:val="99"/>
    <w:pPr>
      <w:spacing w:after="4" w:line="225" w:lineRule="auto"/>
      <w:ind w:left="420" w:hanging="420"/>
      <w:jc w:val="both"/>
    </w:pPr>
    <w:rPr>
      <w:rFonts w:hint="eastAsia" w:ascii="微软雅黑" w:hAnsi="微软雅黑"/>
      <w:kern w:val="2"/>
      <w:sz w:val="30"/>
    </w:rPr>
  </w:style>
  <w:style w:type="paragraph" w:styleId="4">
    <w:name w:val="Normal (Web)"/>
    <w:basedOn w:val="1"/>
    <w:qFormat/>
    <w:uiPriority w:val="99"/>
    <w:pPr>
      <w:spacing w:before="100" w:beforeAutospacing="1" w:after="100" w:afterAutospacing="1"/>
      <w:jc w:val="left"/>
    </w:pPr>
    <w:rPr>
      <w:rFonts w:cs="Times New Roman"/>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27</Pages>
  <TotalTime>11</TotalTime>
  <ScaleCrop>false</ScaleCrop>
  <LinksUpToDate>false</LinksUpToDate>
  <Application>WPS Office_12.8.2.21555_F1E327BC-269C-435d-A152-05C5408002CA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2025-09-01T09:26:00Z</dcterms:created>
  <dc:creator>Administrator</dc:creator>
  <cp:lastModifiedBy>Administrator</cp:lastModifiedBy>
  <dcterms:modified xsi:type="dcterms:W3CDTF">2025-10-31T04:45:04Z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1B91EE6EC389461DB2361B2F2176AFE9_13</vt:lpwstr>
  </property>
</Properties>
</file>