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D2232">
      <w:pPr>
        <w:widowControl/>
        <w:spacing w:before="0" w:beforeLines="0" w:beforeAutospacing="0" w:after="0" w:afterLines="0" w:afterAutospacing="0" w:line="240" w:lineRule="auto"/>
        <w:jc w:val="left"/>
        <w:rPr>
          <w:rFonts w:ascii="宋体" w:eastAsia="宋体"/>
          <w:sz w:val="32"/>
          <w:szCs w:val="32"/>
        </w:rPr>
      </w:pPr>
    </w:p>
    <w:p w14:paraId="266CC032">
      <w:pPr>
        <w:widowControl/>
        <w:spacing w:before="0" w:beforeLines="0" w:beforeAutospacing="0" w:after="0" w:afterLines="0" w:afterAutospacing="0" w:line="240" w:lineRule="auto"/>
        <w:jc w:val="left"/>
        <w:rPr>
          <w:rFonts w:ascii="宋体" w:eastAsia="宋体"/>
          <w:sz w:val="44"/>
          <w:szCs w:val="44"/>
        </w:rPr>
      </w:pPr>
    </w:p>
    <w:p w14:paraId="2AA4260A">
      <w:pPr>
        <w:widowControl/>
        <w:spacing w:before="0" w:beforeLines="0" w:beforeAutospacing="0" w:after="0" w:afterLines="0" w:afterAutospacing="0" w:line="240" w:lineRule="auto"/>
        <w:jc w:val="left"/>
        <w:rPr>
          <w:rFonts w:ascii="宋体" w:eastAsia="宋体"/>
          <w:sz w:val="44"/>
          <w:szCs w:val="44"/>
        </w:rPr>
      </w:pPr>
    </w:p>
    <w:p w14:paraId="1B8D0D15">
      <w:pPr>
        <w:widowControl/>
        <w:spacing w:before="0" w:beforeLines="0" w:beforeAutospacing="0" w:after="0" w:afterLines="0" w:afterAutospacing="0" w:line="240" w:lineRule="auto"/>
        <w:jc w:val="left"/>
        <w:rPr>
          <w:rFonts w:ascii="宋体" w:eastAsia="宋体"/>
          <w:sz w:val="44"/>
          <w:szCs w:val="44"/>
        </w:rPr>
      </w:pPr>
    </w:p>
    <w:p w14:paraId="39328322">
      <w:pPr>
        <w:widowControl/>
        <w:spacing w:before="0" w:beforeLines="0" w:beforeAutospacing="0" w:after="0" w:afterLines="0" w:afterAutospacing="0" w:line="240" w:lineRule="auto"/>
        <w:jc w:val="center"/>
        <w:outlineLvl w:val="0"/>
        <w:rPr>
          <w:rFonts w:ascii="宋体" w:eastAsia="黑体"/>
          <w:sz w:val="44"/>
          <w:szCs w:val="44"/>
        </w:rPr>
      </w:pPr>
      <w:r>
        <w:rPr>
          <w:rFonts w:ascii="宋体" w:eastAsia="黑体"/>
          <w:b w:val="0"/>
          <w:sz w:val="44"/>
          <w:szCs w:val="44"/>
        </w:rPr>
        <w:t>乌鲁木齐市第七幼儿园</w:t>
      </w:r>
    </w:p>
    <w:p w14:paraId="225DB0A2">
      <w:pPr>
        <w:widowControl/>
        <w:spacing w:before="0" w:beforeLines="0" w:beforeAutospacing="0" w:after="0" w:afterLines="0" w:afterAutospacing="0" w:line="240" w:lineRule="auto"/>
        <w:jc w:val="center"/>
        <w:outlineLvl w:val="0"/>
        <w:rPr>
          <w:rFonts w:ascii="黑体" w:eastAsia="黑体"/>
          <w:sz w:val="44"/>
          <w:szCs w:val="44"/>
        </w:rPr>
      </w:pPr>
      <w:r>
        <w:rPr>
          <w:rFonts w:ascii="黑体" w:eastAsia="黑体"/>
          <w:b w:val="0"/>
          <w:sz w:val="44"/>
          <w:szCs w:val="44"/>
        </w:rPr>
        <w:t>2024年度部门决算公开说明</w:t>
      </w:r>
    </w:p>
    <w:p w14:paraId="79396345">
      <w:pPr>
        <w:widowControl/>
      </w:pPr>
      <w:r>
        <w:rPr>
          <w:b w:val="0"/>
          <w:sz w:val="0"/>
          <w:szCs w:val="0"/>
        </w:rPr>
        <w:br w:type="page"/>
      </w:r>
    </w:p>
    <w:p w14:paraId="2CD29F73">
      <w:pPr>
        <w:widowControl/>
        <w:spacing w:before="0" w:beforeLines="0" w:beforeAutospacing="0" w:after="0" w:afterLines="0" w:afterAutospacing="0" w:line="240" w:lineRule="auto"/>
        <w:jc w:val="center"/>
        <w:rPr>
          <w:rFonts w:ascii="黑体" w:eastAsia="黑体"/>
          <w:sz w:val="32"/>
          <w:szCs w:val="32"/>
        </w:rPr>
      </w:pPr>
      <w:r>
        <w:rPr>
          <w:rFonts w:ascii="黑体" w:eastAsia="黑体"/>
          <w:b/>
          <w:sz w:val="32"/>
          <w:szCs w:val="32"/>
        </w:rPr>
        <w:t>目  录</w:t>
      </w:r>
    </w:p>
    <w:p w14:paraId="2DCF3DF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第一部分</w:t>
      </w:r>
      <w:r>
        <w:rPr>
          <w:rFonts w:hint="eastAsia" w:ascii="仿宋_GB2312" w:eastAsia="仿宋_GB2312"/>
          <w:b/>
          <w:sz w:val="32"/>
          <w:szCs w:val="32"/>
          <w:lang w:val="en-US" w:eastAsia="zh-CN"/>
        </w:rPr>
        <w:t xml:space="preserve"> </w:t>
      </w:r>
      <w:r>
        <w:rPr>
          <w:rFonts w:ascii="仿宋_GB2312" w:eastAsia="仿宋_GB2312"/>
          <w:b/>
          <w:sz w:val="32"/>
          <w:szCs w:val="32"/>
        </w:rPr>
        <w:t>单位概况</w:t>
      </w:r>
    </w:p>
    <w:p w14:paraId="31C99287">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一、主要职能</w:t>
      </w:r>
    </w:p>
    <w:p w14:paraId="5AE983DD">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二、机构设置及人员情况</w:t>
      </w:r>
    </w:p>
    <w:p w14:paraId="045D14D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第二部分 部门决算情况说明</w:t>
      </w:r>
    </w:p>
    <w:p w14:paraId="33DD7109">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一、收入支出决算总体情况说明</w:t>
      </w:r>
    </w:p>
    <w:p w14:paraId="35425B72">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二、收入决算情况说明</w:t>
      </w:r>
    </w:p>
    <w:p w14:paraId="2951414D">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三、支出决算情况说明</w:t>
      </w:r>
    </w:p>
    <w:p w14:paraId="2C409F0C">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四、财政拨款收入支出决算总体情况说明</w:t>
      </w:r>
    </w:p>
    <w:p w14:paraId="41D4D787">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五、一般公共预算财政拨款支出决算情况说明</w:t>
      </w:r>
    </w:p>
    <w:p w14:paraId="7EED27F4">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（一）一般公共预算财政拨款支出决算总体情况</w:t>
      </w:r>
    </w:p>
    <w:p w14:paraId="008D7774">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（二）一般公共预算财政拨款支出决算结构情况</w:t>
      </w:r>
    </w:p>
    <w:p w14:paraId="2832C329">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（三）一般公共预算财政拨款支出决算具体情况</w:t>
      </w:r>
    </w:p>
    <w:p w14:paraId="6BC9E3E0">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​六、一般公共预算财政拨款基本支出决算情况说明</w:t>
      </w:r>
    </w:p>
    <w:p w14:paraId="09D3F219">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七、政府性基金预算财政拨款收入支出决算情况说明</w:t>
      </w:r>
    </w:p>
    <w:p w14:paraId="00F4B04D">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八、国有资本经营预算财政拨款收入支出决算情况说明</w:t>
      </w:r>
    </w:p>
    <w:p w14:paraId="77BC9D65">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九、财政拨款“三公”经费支出决算情况说明</w:t>
      </w:r>
    </w:p>
    <w:p w14:paraId="7956672C">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​十、其他重要事项的情况说明</w:t>
      </w:r>
    </w:p>
    <w:p w14:paraId="3F013EF2">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（一）机关运行经费及公用经费支出情况</w:t>
      </w:r>
    </w:p>
    <w:p w14:paraId="6669D983">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（二）政府采购情况</w:t>
      </w:r>
    </w:p>
    <w:p w14:paraId="0623DF3B">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（三）国有资产占用情况说明</w:t>
      </w:r>
    </w:p>
    <w:p w14:paraId="7FCA996E">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十一、预算绩效的情况说明</w:t>
      </w:r>
    </w:p>
    <w:p w14:paraId="2FFA54F3">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十二、其他需说明的事项</w:t>
      </w:r>
    </w:p>
    <w:p w14:paraId="69C3A567">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第三部分 专业名词解释</w:t>
      </w:r>
    </w:p>
    <w:p w14:paraId="07D161BA">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第四部分 部门决算报表（见附表）</w:t>
      </w:r>
    </w:p>
    <w:p w14:paraId="47D676DF">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一、《收入支出决算总表》</w:t>
      </w:r>
    </w:p>
    <w:p w14:paraId="0F1C0A20">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二、《收入决算表》</w:t>
      </w:r>
    </w:p>
    <w:p w14:paraId="50426686">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三、《支出决算表》</w:t>
      </w:r>
    </w:p>
    <w:p w14:paraId="3256D9C6">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四、《财政拨款收入支出决算总表》</w:t>
      </w:r>
    </w:p>
    <w:p w14:paraId="34B273F7">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五、《一般公共预算财政拨款支出决算表》</w:t>
      </w:r>
    </w:p>
    <w:p w14:paraId="26A168FC">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六、《一般公共预算财政拨款基本支出决算表》</w:t>
      </w:r>
    </w:p>
    <w:p w14:paraId="6C006BD5">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七、《政府性基金预算财政拨款收入支出决算表》</w:t>
      </w:r>
    </w:p>
    <w:p w14:paraId="039C834C">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八、《国有资本经营预算财政拨款收入支出决算表》</w:t>
      </w:r>
    </w:p>
    <w:p w14:paraId="7D8AEBD3">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九、《财政拨款“三公”经费支出决算表》</w:t>
      </w:r>
    </w:p>
    <w:p w14:paraId="64C35694">
      <w:pPr>
        <w:widowControl/>
      </w:pPr>
      <w:r>
        <w:rPr>
          <w:b w:val="0"/>
          <w:sz w:val="0"/>
          <w:szCs w:val="0"/>
        </w:rPr>
        <w:br w:type="page"/>
      </w:r>
    </w:p>
    <w:p w14:paraId="0DD7AA8E">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第一部分 单位概况</w:t>
      </w:r>
    </w:p>
    <w:p w14:paraId="273C7679">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 一、主要职能</w:t>
      </w:r>
    </w:p>
    <w:p w14:paraId="0C9D67DD">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七幼儿园位于乌鲁木齐市头屯河区东林街239号，是经济技术开发区教育局举办的一所差额拨款性质的幼儿园。幼儿园占地面积约8920平方米，建有教学楼3座，其中两座是上世纪80年代所建，一座是2012年建成的双语教学楼。设置11个教学班，全园453名在册幼儿。具体职能如下：1、认真贯彻《中华人民共和国教育法》、《幼儿园管理条例》、《幼儿园教育指导纲要》和《幼儿园工作规程》，规范幼儿园各项工作。2、搞好学龄前幼儿入园教育工作，解决人民群众的后顾之忧，依托教育局，立足现有条件，不断提高保教质量。同时不断扩大服务范围，面向社会招生。3、强化幼儿园内部管理，加强师资队伍建设，建设建立科学、有效的用工制度和人事分配制度等激励机制，调动广大职工的工作热情和工作积极性，提高教学质量和服务质量。4、从实际出发，因地制宜地实施素质教育，为幼儿一生发展打下好基础。尊重幼儿身心发展的规律和学习特点，以游戏为基本活动，保教并重，关注个别差异，促进身心和谐发展，促进每个幼儿富有个性的发展。</w:t>
      </w:r>
    </w:p>
    <w:p w14:paraId="7738B01C">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二、机构设置及人员情况</w:t>
      </w:r>
    </w:p>
    <w:p w14:paraId="737B047A">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乌鲁木齐市第七幼儿园2024年度，实有人数107人，其中：在职人员46人，增加4人；离休人员0人，较上年无变化；退休人员61人，增加61人。</w:t>
      </w:r>
    </w:p>
    <w:p w14:paraId="66A68001">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乌鲁木齐市第七幼儿园无下属预算单位，下设6个处室，分别是：园长办公室、教研室、工会、财务室、保健室、总务室。</w:t>
      </w:r>
    </w:p>
    <w:p w14:paraId="40A3BBFA">
      <w:pPr>
        <w:widowControl/>
      </w:pPr>
      <w:r>
        <w:rPr>
          <w:b w:val="0"/>
          <w:sz w:val="0"/>
          <w:szCs w:val="0"/>
        </w:rPr>
        <w:br w:type="page"/>
      </w:r>
    </w:p>
    <w:p w14:paraId="43C1E4D3">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第二部分 部门决算情况说明</w:t>
      </w:r>
    </w:p>
    <w:p w14:paraId="3B8F63FD">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一、收入支出决算总体情况说明</w:t>
      </w:r>
    </w:p>
    <w:p w14:paraId="3D73AEBE">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2024年度收入总计797.28万元，其中：本年收入合计797.28万元，使用非财政拨款结余（含专用结余）0.00万元，年初结转和结余0.00万元。</w:t>
      </w:r>
    </w:p>
    <w:p w14:paraId="36EE558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2024年度支出总计797.28万元，其中：本年支出合计797.28万元，结余分配0.00万元，年末结转和结余0.00万元。</w:t>
      </w:r>
    </w:p>
    <w:p w14:paraId="0C57CB11">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收入支出总体与上年相比，增加77.83万元，增长10.82%，主要原因是：在职人员数量增多。</w:t>
      </w:r>
    </w:p>
    <w:p w14:paraId="6636D1F6">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二、收入决算情况说明</w:t>
      </w:r>
    </w:p>
    <w:p w14:paraId="1375BA3E">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本年收入797.28万元，其中：财政拨款收入797.28万元,占100.00%；上级补助收入0.00万元,占0.00%；事业收入0.00万元，占0.00%；经营收入0.00万元,占0.00%；附属单位上缴收入0.00万元，占0.00%；其他收入0.00万元，占0.00%。</w:t>
      </w:r>
    </w:p>
    <w:p w14:paraId="364271BE">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三、支出决算情况说明</w:t>
      </w:r>
    </w:p>
    <w:p w14:paraId="3452809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本年支出797.28万元，其中：基本支出667.9</w:t>
      </w:r>
      <w:r>
        <w:rPr>
          <w:rFonts w:hint="eastAsia" w:ascii="仿宋_GB2312" w:eastAsia="仿宋_GB2312"/>
          <w:b w:val="0"/>
          <w:sz w:val="32"/>
          <w:szCs w:val="32"/>
          <w:lang w:val="en-US" w:eastAsia="zh-CN"/>
        </w:rPr>
        <w:t>4</w:t>
      </w:r>
      <w:r>
        <w:rPr>
          <w:rFonts w:ascii="仿宋_GB2312" w:eastAsia="仿宋_GB2312"/>
          <w:b w:val="0"/>
          <w:sz w:val="32"/>
          <w:szCs w:val="32"/>
        </w:rPr>
        <w:t>万元，占83.78%；项目支出129.3</w:t>
      </w:r>
      <w:r>
        <w:rPr>
          <w:rFonts w:hint="eastAsia" w:ascii="仿宋_GB2312" w:eastAsia="仿宋_GB2312"/>
          <w:b w:val="0"/>
          <w:sz w:val="32"/>
          <w:szCs w:val="32"/>
          <w:lang w:val="en-US" w:eastAsia="zh-CN"/>
        </w:rPr>
        <w:t>4</w:t>
      </w:r>
      <w:r>
        <w:rPr>
          <w:rFonts w:ascii="仿宋_GB2312" w:eastAsia="仿宋_GB2312"/>
          <w:b w:val="0"/>
          <w:sz w:val="32"/>
          <w:szCs w:val="32"/>
        </w:rPr>
        <w:t>万元，占16.22%；上缴上级支出0.00万元，占0.00%；经营支出0.00万元，占0.00%；对附属单位补助支出0.00万元，占0.00%。</w:t>
      </w:r>
    </w:p>
    <w:p w14:paraId="4AD6109D">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四、财政拨款收入支出决算总体情况说明</w:t>
      </w:r>
    </w:p>
    <w:p w14:paraId="532A201E">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2024年度财政拨款收入总计797.28万元，其中：年初财政拨款结转和结余0.00万元，本年财政拨款收入797.28万元。财政拨款支出总计797.28万元，其中：年末财政拨款结转和结余0.00万元，本年财政拨款支出797.28万元。</w:t>
      </w:r>
    </w:p>
    <w:p w14:paraId="6E71367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财政拨款收入支出总体与上年相比，增加77.83万元，增长10.82%，主要原因是：在职人员数量增多。与年初预算相比，年初预算数982.13万元，决算数797.28万元，预决算差异率-18.82%，主要原因是：</w:t>
      </w:r>
      <w:r>
        <w:rPr>
          <w:rFonts w:hint="eastAsia" w:ascii="仿宋_GB2312" w:eastAsia="仿宋_GB2312"/>
          <w:b w:val="0"/>
          <w:sz w:val="32"/>
          <w:szCs w:val="32"/>
          <w:lang w:eastAsia="zh-CN"/>
        </w:rPr>
        <w:t>部分公用经费和项目资金调减</w:t>
      </w:r>
      <w:r>
        <w:rPr>
          <w:rFonts w:ascii="仿宋_GB2312" w:eastAsia="仿宋_GB2312"/>
          <w:b w:val="0"/>
          <w:sz w:val="32"/>
          <w:szCs w:val="32"/>
        </w:rPr>
        <w:t>。</w:t>
      </w:r>
    </w:p>
    <w:p w14:paraId="2950B451">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五、一般公共预算财政拨款支出决算情况说明</w:t>
      </w:r>
    </w:p>
    <w:p w14:paraId="28CD3E21">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（一）一般公共预算财政拨款支出决算总体情况</w:t>
      </w:r>
    </w:p>
    <w:p w14:paraId="5282F96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支出797.28万元，占本年支出合计的100.00%。与上年相比，增加77.83万元，增长10.82%，主要原因是：在职人员数量增多。与年初预算相比，年初预算数982.13万元，决算数797.28万元，预决算差异率-18.82%，主要原因是：</w:t>
      </w:r>
      <w:r>
        <w:rPr>
          <w:rFonts w:hint="eastAsia" w:ascii="仿宋_GB2312" w:eastAsia="仿宋_GB2312"/>
          <w:b w:val="0"/>
          <w:sz w:val="32"/>
          <w:szCs w:val="32"/>
          <w:lang w:eastAsia="zh-CN"/>
        </w:rPr>
        <w:t>部分公用经费和项目资金调减</w:t>
      </w:r>
      <w:r>
        <w:rPr>
          <w:rFonts w:ascii="仿宋_GB2312" w:eastAsia="仿宋_GB2312"/>
          <w:b w:val="0"/>
          <w:sz w:val="32"/>
          <w:szCs w:val="32"/>
        </w:rPr>
        <w:t>。</w:t>
      </w:r>
    </w:p>
    <w:p w14:paraId="3CAA072B">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（二）一般公共预算财政拨款支出决算结构情况</w:t>
      </w:r>
    </w:p>
    <w:p w14:paraId="0B154913">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教育支出（类）797.28万元，占100.00%。</w:t>
      </w:r>
    </w:p>
    <w:p w14:paraId="4617C3B2">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（三）一般公共预算财政拨款支出决算具体情况</w:t>
      </w:r>
    </w:p>
    <w:p w14:paraId="33C6C529">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1、教育支出（类）普通教育（款）学前教育（项）：支出决算数为783.10万元，比上年决算增加63.65万元，增长8.85%，主要原因是：在职人员数量增加。</w:t>
      </w:r>
    </w:p>
    <w:p w14:paraId="060338FE">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2、教育支出（类）普通教育（款）其他普通教育支出（项）：支出决算数为14.18万元，比上年决算增加14.18万元，增长100.00%，主要原因是：增加了聘用教师资金项目。</w:t>
      </w:r>
    </w:p>
    <w:p w14:paraId="74634548">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六、一般公共预算财政拨款基本支出决算情况说明</w:t>
      </w:r>
    </w:p>
    <w:p w14:paraId="6518625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2024年度一般公共预算财政拨款基本支出667.9</w:t>
      </w:r>
      <w:r>
        <w:rPr>
          <w:rFonts w:hint="eastAsia" w:ascii="仿宋_GB2312" w:eastAsia="仿宋_GB2312"/>
          <w:b w:val="0"/>
          <w:sz w:val="32"/>
          <w:szCs w:val="32"/>
          <w:lang w:val="en-US" w:eastAsia="zh-CN"/>
        </w:rPr>
        <w:t>4</w:t>
      </w:r>
      <w:r>
        <w:rPr>
          <w:rFonts w:ascii="仿宋_GB2312" w:eastAsia="仿宋_GB2312"/>
          <w:b w:val="0"/>
          <w:sz w:val="32"/>
          <w:szCs w:val="32"/>
        </w:rPr>
        <w:t>万元，其中：人员经费624.17万元，包括：基本工资、津贴补贴、奖金、绩效工资、机关事业单位基本养老保险缴费、职工基本医疗保险缴费、公务员医疗补助缴费、其他社会保障缴费、住房公积金和退休费。</w:t>
      </w:r>
    </w:p>
    <w:p w14:paraId="4EFB2CB6">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公用经费43.77万元，包括：办公费、水费、电费、邮电费、取暖费、维修（护）费、培训费、工会经费、福利费、公务用车运行维护费和办公设备购置。</w:t>
      </w:r>
    </w:p>
    <w:p w14:paraId="06D40A51">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七、政府性基金预算财政拨款收入支出决算情况说明</w:t>
      </w:r>
    </w:p>
    <w:p w14:paraId="3B245071">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本单位本年度无政府性基金预算财政拨款收入、支出及结转和结余，政府性基金预算财政拨款收入支出决算表为空表。</w:t>
      </w:r>
    </w:p>
    <w:p w14:paraId="5FCE06C7">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八、国有资本经营预算财政拨款收入支出决算情况说明</w:t>
      </w:r>
    </w:p>
    <w:p w14:paraId="5C2A0DD5">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本单位本年度无国有资本经营预算财政拨款收入、支出及结转和结余，国有资本经营预算财政拨款收入支出决算表为空表。</w:t>
      </w:r>
    </w:p>
    <w:p w14:paraId="56E367E1">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九、财政拨款“三公”经费支出决算情况说明</w:t>
      </w:r>
    </w:p>
    <w:p w14:paraId="56189320">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2024年度财政拨款“三</w:t>
      </w:r>
      <w:bookmarkStart w:id="0" w:name="_GoBack"/>
      <w:bookmarkEnd w:id="0"/>
      <w:r>
        <w:rPr>
          <w:rFonts w:ascii="仿宋_GB2312" w:eastAsia="仿宋_GB2312"/>
          <w:b w:val="0"/>
          <w:sz w:val="32"/>
          <w:szCs w:val="32"/>
        </w:rPr>
        <w:t>公”经费支出2.43万元，比上年增加0.45万元，增长22.73%，主要原因是：车辆油料费增加。其中：因公出国（境）费支出0.00万元,占0.00%，与上年相比无变化，主要原因是：开支内容包括无此项支出；公务用车购置及运行维护费支出2.43万元，占100.00%，比上年增加0.45万元，增长22.73%，主要原因是：车辆油料费增加；公务接待费支出0.00万元，占0.00%，与上年相比无变化，主要原因是：开支内容包括无此项支出。</w:t>
      </w:r>
    </w:p>
    <w:p w14:paraId="50E0F8DB">
      <w:pPr>
        <w:widowControl/>
        <w:spacing w:before="0" w:beforeLines="0" w:beforeAutospacing="0" w:after="0" w:afterLines="0" w:afterAutospacing="0" w:line="240" w:lineRule="auto"/>
        <w:ind w:firstLine="640" w:firstLineChars="200"/>
        <w:jc w:val="left"/>
        <w:rPr>
          <w:rFonts w:ascii="仿宋_GB2312" w:eastAsia="仿宋_GB2312"/>
          <w:sz w:val="32"/>
          <w:szCs w:val="32"/>
        </w:rPr>
      </w:pPr>
      <w:r>
        <w:rPr>
          <w:rFonts w:ascii="仿宋_GB2312" w:eastAsia="仿宋_GB2312"/>
          <w:b w:val="0"/>
          <w:sz w:val="32"/>
          <w:szCs w:val="32"/>
        </w:rPr>
        <w:t>具体情况如下：</w:t>
      </w:r>
    </w:p>
    <w:p w14:paraId="2AE31D11">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因公出国（境）费支出0.00万元，开支内容包括：本年无因公出国（境）费支出。单位全年安排的因公出国（境）团组0个，因公出国（境）0人次。</w:t>
      </w:r>
    </w:p>
    <w:p w14:paraId="38AF20AA">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用车购置及运行维护费2.43万元，其中：公务用车购置费0.00万元，公务用车运行维护费2.43万元。公务用车运行维护费开支内容包括：车辆油料费。公务用车购置数0辆，公务用车保有量2辆。国有资产占用情况中固定资产车辆0辆，与公务用车保有量差异原因是：公务车保有量 2 辆为租赁公务车。</w:t>
      </w:r>
    </w:p>
    <w:p w14:paraId="617290FD">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公务接待费0.00万元，开支内容包括无此项支出。单位全年安排的国内公务接待0批次，0人次。</w:t>
      </w:r>
    </w:p>
    <w:p w14:paraId="48CF0BAF">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与全年预算相比，财政拨款“三公”经费支出全年预算数2.43万元，决算数2.43万元，预决算差异率0.00%，主要原因是：</w:t>
      </w:r>
      <w:r>
        <w:rPr>
          <w:rFonts w:hint="eastAsia" w:ascii="仿宋_GB2312" w:eastAsia="仿宋_GB2312"/>
          <w:b w:val="0"/>
          <w:sz w:val="32"/>
          <w:szCs w:val="32"/>
          <w:lang w:eastAsia="zh-CN"/>
        </w:rPr>
        <w:t>本年严格按照预算执行</w:t>
      </w:r>
      <w:r>
        <w:rPr>
          <w:rFonts w:ascii="仿宋_GB2312" w:eastAsia="仿宋_GB2312"/>
          <w:b w:val="0"/>
          <w:sz w:val="32"/>
          <w:szCs w:val="32"/>
        </w:rPr>
        <w:t>。其中：因公出国（境）费全年预算数0.00万元，决算数0.00万元，预决算差异率0.00%，主要原因是：预算数与决算数相同，故差异率为 0.00%；公务用车购置费全年预算数0.00万元，决算数0.00万元，预决算差异率0.00%，主要原因是：预算数与决算数相同，故差异率为 0.00%；公务用车运行维护费全年预算数2.43万元，决算数2.43万元，预决算差异率0.00%，主要原因是：预算数与决算数相同，故差异率为 0.00%；公务接待费全年预算数0.00万元，决算数0.00万元，预决算差异率0.00%，主要原因是：预算数与决算数相同，故差异率为 0.00%。</w:t>
      </w:r>
    </w:p>
    <w:p w14:paraId="68537EE0">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十、其他重要事项的情况说明</w:t>
      </w:r>
    </w:p>
    <w:p w14:paraId="58338454">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（一）机关运行经费及公用经费支出情况</w:t>
      </w:r>
    </w:p>
    <w:p w14:paraId="69C5B6DE">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2024年度乌鲁木齐市第七幼儿园单位（事业单位）公用经费支出43.77万元，比上年增加7.98万元，增长22.30%，主要原因是：办公费增加、车辆油料费增加、福利费增加</w:t>
      </w:r>
      <w:r>
        <w:rPr>
          <w:rFonts w:hint="eastAsia" w:ascii="仿宋_GB2312" w:eastAsia="仿宋_GB2312"/>
          <w:b w:val="0"/>
          <w:sz w:val="32"/>
          <w:szCs w:val="32"/>
          <w:lang w:eastAsia="zh-CN"/>
        </w:rPr>
        <w:t>。</w:t>
      </w:r>
    </w:p>
    <w:p w14:paraId="36F06F0A">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（二）政府采购情况</w:t>
      </w:r>
    </w:p>
    <w:p w14:paraId="37E06B9D">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2024年度政府采购支出总额60.12万元，其中：政府采购货物支出1.40万元、政府采购工程支出0.00万元、政府采购服务支出58.72万元。</w:t>
      </w:r>
    </w:p>
    <w:p w14:paraId="2E00F0BB">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授予中小企业合同金额60.12万元，占政府采购支出总额的100.00%，其中：授予小微企业合同金额60.12万元，占政府采购支出总额的100.00%。</w:t>
      </w:r>
    </w:p>
    <w:p w14:paraId="2CC22807">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（三）国有资产占用情况说明</w:t>
      </w:r>
    </w:p>
    <w:p w14:paraId="50247376">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截至2024年12月31日，房屋7,940.38平方米，价值1,639.50万元。车辆0辆，价值0.00万元，其中：副部（省）级及以上领导用车0辆、主要负责人用车0辆、机要通信用车0辆、应急保障用车0辆、执法执勤用车0辆、特种专业技术用车0辆、离退休干部服务用车0辆、其他用车0辆，其他用车主要是：无其他用车;单价100万元（含）以上设备（不含车辆）0台。</w:t>
      </w:r>
    </w:p>
    <w:p w14:paraId="1F98611A">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十一、预算绩效的情况说明</w:t>
      </w:r>
    </w:p>
    <w:p w14:paraId="423C02EA">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根据预算绩效管理要求，本单位2024年度预算绩效管理形成整体支出绩效自评表1个，全年预算总额797.28万元，实际执行总额797.28万元；预算绩效评价项目1个，全年预算数79.8万元，全年执行数53.2万元。预算绩效管理取得的成效：一是建立了“事前有目标、事中有监控、事后有评价、结果有应用、应用有反馈”的常态化预算绩效管理体系，对项目的实施进程有了监控和了解，二是财政资金使用效率明显提高。发现的问题及原因：一是绩效管理的广度和深度不足；二是专业人员队伍力量配备不足。下一步改进措施：一是以完善工作措施为着力点，不断提高预算绩效管理水平；二是加强绩效管理专业队伍建设，配优配强预算绩效管理人员队伍。具体附部门整体支出绩效自评表，项目支出绩效自评表和部门评价报告。</w:t>
      </w:r>
    </w:p>
    <w:p w14:paraId="223AC82A">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004EAF64">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5CFCB083">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397385E8">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5670B817">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5B6911ED">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4A695559">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55607D92">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72685049">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011B1F9F">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2332BDC7">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516F645F">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46463FC5">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56F1C2F5">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1CFCCF92">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0E789545">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6FF44454">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47B0BEDE">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3020DD30">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7FBCC722">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5B4336BA">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4934981C">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7A60ED69">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1949534B">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tbl>
      <w:tblPr>
        <w:tblStyle w:val="12"/>
        <w:tblpPr w:leftFromText="180" w:rightFromText="180" w:vertAnchor="text" w:horzAnchor="page" w:tblpX="533" w:tblpY="147"/>
        <w:tblOverlap w:val="never"/>
        <w:tblW w:w="101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6"/>
        <w:gridCol w:w="1142"/>
        <w:gridCol w:w="1313"/>
        <w:gridCol w:w="1095"/>
        <w:gridCol w:w="921"/>
        <w:gridCol w:w="1075"/>
        <w:gridCol w:w="1337"/>
        <w:gridCol w:w="1000"/>
        <w:gridCol w:w="1254"/>
      </w:tblGrid>
      <w:tr w14:paraId="24613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10183" w:type="dxa"/>
            <w:gridSpan w:val="9"/>
            <w:tcBorders>
              <w:top w:val="nil"/>
              <w:left w:val="nil"/>
              <w:bottom w:val="nil"/>
              <w:right w:val="nil"/>
            </w:tcBorders>
            <w:shd w:val="clear" w:color="auto" w:fill="auto"/>
            <w:noWrap/>
            <w:vAlign w:val="center"/>
          </w:tcPr>
          <w:p w14:paraId="623FB526">
            <w:pPr>
              <w:keepNext w:val="0"/>
              <w:keepLines w:val="0"/>
              <w:widowControl/>
              <w:suppressLineNumbers w:val="0"/>
              <w:spacing w:after="0" w:line="240" w:lineRule="auto"/>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部门（单位）整体支出绩效目标自评表</w:t>
            </w:r>
          </w:p>
        </w:tc>
      </w:tr>
      <w:tr w14:paraId="019F2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0183" w:type="dxa"/>
            <w:gridSpan w:val="9"/>
            <w:tcBorders>
              <w:top w:val="nil"/>
              <w:left w:val="nil"/>
              <w:bottom w:val="nil"/>
              <w:right w:val="nil"/>
            </w:tcBorders>
            <w:shd w:val="clear" w:color="auto" w:fill="auto"/>
            <w:noWrap/>
            <w:vAlign w:val="center"/>
          </w:tcPr>
          <w:p w14:paraId="33B3ED9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2024</w:t>
            </w:r>
          </w:p>
        </w:tc>
      </w:tr>
      <w:tr w14:paraId="21BD5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350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398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部门（单位）名称</w:t>
            </w:r>
          </w:p>
        </w:tc>
        <w:tc>
          <w:tcPr>
            <w:tcW w:w="668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D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乌鲁木齐市第七幼儿园</w:t>
            </w:r>
          </w:p>
        </w:tc>
      </w:tr>
      <w:tr w14:paraId="377FC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2188" w:type="dxa"/>
            <w:gridSpan w:val="2"/>
            <w:vMerge w:val="restart"/>
            <w:tcBorders>
              <w:top w:val="single" w:color="000000" w:sz="4" w:space="0"/>
              <w:left w:val="single" w:color="000000" w:sz="4" w:space="0"/>
              <w:bottom w:val="single" w:color="000000" w:sz="4" w:space="0"/>
              <w:right w:val="nil"/>
            </w:tcBorders>
            <w:shd w:val="clear" w:color="auto" w:fill="auto"/>
            <w:vAlign w:val="center"/>
          </w:tcPr>
          <w:p w14:paraId="29031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年度预算（万元）</w:t>
            </w:r>
          </w:p>
        </w:tc>
        <w:tc>
          <w:tcPr>
            <w:tcW w:w="24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1D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资金来源</w:t>
            </w:r>
          </w:p>
        </w:tc>
        <w:tc>
          <w:tcPr>
            <w:tcW w:w="1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35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年初预算数（万元）</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0379">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预算数（调整后）</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4045">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执行数</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6DD9">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执行率(%)</w:t>
            </w:r>
          </w:p>
        </w:tc>
      </w:tr>
      <w:tr w14:paraId="5AE7A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2188"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58526D69">
            <w:pPr>
              <w:jc w:val="center"/>
              <w:rPr>
                <w:rFonts w:hint="eastAsia" w:ascii="宋体" w:hAnsi="宋体" w:eastAsia="宋体" w:cs="宋体"/>
                <w:i w:val="0"/>
                <w:iCs w:val="0"/>
                <w:color w:val="000000"/>
                <w:sz w:val="20"/>
                <w:szCs w:val="20"/>
                <w:u w:val="none"/>
              </w:rPr>
            </w:pPr>
          </w:p>
        </w:tc>
        <w:tc>
          <w:tcPr>
            <w:tcW w:w="1313" w:type="dxa"/>
            <w:vMerge w:val="restart"/>
            <w:tcBorders>
              <w:top w:val="single" w:color="000000" w:sz="4" w:space="0"/>
              <w:left w:val="single" w:color="000000" w:sz="4" w:space="0"/>
              <w:bottom w:val="nil"/>
              <w:right w:val="single" w:color="000000" w:sz="4" w:space="0"/>
            </w:tcBorders>
            <w:shd w:val="clear" w:color="auto" w:fill="auto"/>
            <w:vAlign w:val="center"/>
          </w:tcPr>
          <w:p w14:paraId="2C7D3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财政资金（万元）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7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上级资金：</w:t>
            </w:r>
          </w:p>
        </w:tc>
        <w:tc>
          <w:tcPr>
            <w:tcW w:w="1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2C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78.6</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6E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F7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B581">
            <w:pPr>
              <w:rPr>
                <w:rFonts w:hint="eastAsia" w:ascii="宋体" w:hAnsi="宋体" w:eastAsia="宋体" w:cs="宋体"/>
                <w:i w:val="0"/>
                <w:iCs w:val="0"/>
                <w:color w:val="000000"/>
                <w:sz w:val="20"/>
                <w:szCs w:val="20"/>
                <w:u w:val="none"/>
              </w:rPr>
            </w:pPr>
          </w:p>
        </w:tc>
      </w:tr>
      <w:tr w14:paraId="21DB8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2188"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7B59AABF">
            <w:pPr>
              <w:jc w:val="center"/>
              <w:rPr>
                <w:rFonts w:hint="eastAsia" w:ascii="宋体" w:hAnsi="宋体" w:eastAsia="宋体" w:cs="宋体"/>
                <w:i w:val="0"/>
                <w:iCs w:val="0"/>
                <w:color w:val="000000"/>
                <w:sz w:val="20"/>
                <w:szCs w:val="20"/>
                <w:u w:val="none"/>
              </w:rPr>
            </w:pPr>
          </w:p>
        </w:tc>
        <w:tc>
          <w:tcPr>
            <w:tcW w:w="1313" w:type="dxa"/>
            <w:vMerge w:val="continue"/>
            <w:tcBorders>
              <w:top w:val="single" w:color="000000" w:sz="4" w:space="0"/>
              <w:left w:val="single" w:color="000000" w:sz="4" w:space="0"/>
              <w:bottom w:val="nil"/>
              <w:right w:val="single" w:color="000000" w:sz="4" w:space="0"/>
            </w:tcBorders>
            <w:shd w:val="clear" w:color="auto" w:fill="auto"/>
            <w:vAlign w:val="center"/>
          </w:tcPr>
          <w:p w14:paraId="45376C6B">
            <w:pPr>
              <w:jc w:val="center"/>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C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本级资金：</w:t>
            </w:r>
          </w:p>
        </w:tc>
        <w:tc>
          <w:tcPr>
            <w:tcW w:w="1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BE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903.53</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32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797.28</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77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797.28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F840">
            <w:pPr>
              <w:rPr>
                <w:rFonts w:hint="eastAsia" w:ascii="宋体" w:hAnsi="宋体" w:eastAsia="宋体" w:cs="宋体"/>
                <w:i w:val="0"/>
                <w:iCs w:val="0"/>
                <w:color w:val="000000"/>
                <w:sz w:val="20"/>
                <w:szCs w:val="20"/>
                <w:u w:val="none"/>
              </w:rPr>
            </w:pPr>
          </w:p>
        </w:tc>
      </w:tr>
      <w:tr w14:paraId="32707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2188"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2058B812">
            <w:pPr>
              <w:jc w:val="center"/>
              <w:rPr>
                <w:rFonts w:hint="eastAsia" w:ascii="宋体" w:hAnsi="宋体" w:eastAsia="宋体" w:cs="宋体"/>
                <w:i w:val="0"/>
                <w:iCs w:val="0"/>
                <w:color w:val="000000"/>
                <w:sz w:val="20"/>
                <w:szCs w:val="20"/>
                <w:u w:val="none"/>
              </w:rPr>
            </w:pPr>
          </w:p>
        </w:tc>
        <w:tc>
          <w:tcPr>
            <w:tcW w:w="1313" w:type="dxa"/>
            <w:vMerge w:val="continue"/>
            <w:tcBorders>
              <w:top w:val="single" w:color="000000" w:sz="4" w:space="0"/>
              <w:left w:val="single" w:color="000000" w:sz="4" w:space="0"/>
              <w:bottom w:val="nil"/>
              <w:right w:val="single" w:color="000000" w:sz="4" w:space="0"/>
            </w:tcBorders>
            <w:shd w:val="clear" w:color="auto" w:fill="auto"/>
            <w:vAlign w:val="center"/>
          </w:tcPr>
          <w:p w14:paraId="520780FF">
            <w:pPr>
              <w:jc w:val="center"/>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3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1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CB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DAB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A7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711A">
            <w:pPr>
              <w:rPr>
                <w:rFonts w:hint="eastAsia" w:ascii="宋体" w:hAnsi="宋体" w:eastAsia="宋体" w:cs="宋体"/>
                <w:i w:val="0"/>
                <w:iCs w:val="0"/>
                <w:color w:val="000000"/>
                <w:sz w:val="20"/>
                <w:szCs w:val="20"/>
                <w:u w:val="none"/>
              </w:rPr>
            </w:pPr>
          </w:p>
        </w:tc>
      </w:tr>
      <w:tr w14:paraId="57023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 w:hRule="atLeast"/>
        </w:trPr>
        <w:tc>
          <w:tcPr>
            <w:tcW w:w="2188"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16098C86">
            <w:pPr>
              <w:jc w:val="center"/>
              <w:rPr>
                <w:rFonts w:hint="eastAsia" w:ascii="宋体" w:hAnsi="宋体" w:eastAsia="宋体" w:cs="宋体"/>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D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F15D">
            <w:pPr>
              <w:rPr>
                <w:rFonts w:hint="eastAsia" w:ascii="宋体" w:hAnsi="宋体" w:eastAsia="宋体" w:cs="宋体"/>
                <w:i w:val="0"/>
                <w:iCs w:val="0"/>
                <w:color w:val="000000"/>
                <w:sz w:val="20"/>
                <w:szCs w:val="20"/>
                <w:u w:val="none"/>
              </w:rPr>
            </w:pPr>
          </w:p>
        </w:tc>
        <w:tc>
          <w:tcPr>
            <w:tcW w:w="19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2F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982.13</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3B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797.28</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B0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797.28</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B5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6FDEF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1046" w:type="dxa"/>
            <w:vMerge w:val="restart"/>
            <w:tcBorders>
              <w:top w:val="single" w:color="000000" w:sz="4" w:space="0"/>
              <w:left w:val="single" w:color="000000" w:sz="4" w:space="0"/>
              <w:bottom w:val="nil"/>
              <w:right w:val="single" w:color="000000" w:sz="4" w:space="0"/>
            </w:tcBorders>
            <w:shd w:val="clear" w:color="auto" w:fill="auto"/>
            <w:vAlign w:val="center"/>
          </w:tcPr>
          <w:p w14:paraId="2415072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4471" w:type="dxa"/>
            <w:gridSpan w:val="4"/>
            <w:tcBorders>
              <w:top w:val="single" w:color="000000" w:sz="4" w:space="0"/>
              <w:left w:val="single" w:color="000000" w:sz="4" w:space="0"/>
              <w:bottom w:val="single" w:color="000000" w:sz="4" w:space="0"/>
              <w:right w:val="nil"/>
            </w:tcBorders>
            <w:shd w:val="clear" w:color="auto" w:fill="auto"/>
            <w:noWrap/>
            <w:vAlign w:val="center"/>
          </w:tcPr>
          <w:p w14:paraId="459C139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预期目标</w:t>
            </w:r>
          </w:p>
        </w:tc>
        <w:tc>
          <w:tcPr>
            <w:tcW w:w="46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B2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实际完成目标</w:t>
            </w:r>
          </w:p>
        </w:tc>
      </w:tr>
      <w:tr w14:paraId="3304F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3" w:hRule="atLeast"/>
        </w:trPr>
        <w:tc>
          <w:tcPr>
            <w:tcW w:w="1046" w:type="dxa"/>
            <w:vMerge w:val="continue"/>
            <w:tcBorders>
              <w:top w:val="single" w:color="000000" w:sz="4" w:space="0"/>
              <w:left w:val="single" w:color="000000" w:sz="4" w:space="0"/>
              <w:bottom w:val="nil"/>
              <w:right w:val="single" w:color="000000" w:sz="4" w:space="0"/>
            </w:tcBorders>
            <w:shd w:val="clear" w:color="auto" w:fill="auto"/>
            <w:vAlign w:val="center"/>
          </w:tcPr>
          <w:p w14:paraId="75441A1D">
            <w:pPr>
              <w:jc w:val="center"/>
              <w:rPr>
                <w:rFonts w:hint="eastAsia" w:ascii="宋体" w:hAnsi="宋体" w:eastAsia="宋体" w:cs="宋体"/>
                <w:b/>
                <w:bCs/>
                <w:i w:val="0"/>
                <w:iCs w:val="0"/>
                <w:color w:val="000000"/>
                <w:sz w:val="20"/>
                <w:szCs w:val="20"/>
                <w:u w:val="none"/>
              </w:rPr>
            </w:pPr>
          </w:p>
        </w:tc>
        <w:tc>
          <w:tcPr>
            <w:tcW w:w="4471" w:type="dxa"/>
            <w:gridSpan w:val="4"/>
            <w:tcBorders>
              <w:top w:val="single" w:color="000000" w:sz="4" w:space="0"/>
              <w:left w:val="single" w:color="000000" w:sz="4" w:space="0"/>
              <w:bottom w:val="nil"/>
              <w:right w:val="single" w:color="000000" w:sz="4" w:space="0"/>
            </w:tcBorders>
            <w:shd w:val="clear" w:color="auto" w:fill="auto"/>
            <w:vAlign w:val="center"/>
          </w:tcPr>
          <w:p w14:paraId="71A88C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1、保障适龄幼儿入园接收教育2、按时足额发放人员工资奖金，社保、医保、住房公积金等；3、日常办公用品采购，保障学校教育教学工作正常开展。</w:t>
            </w:r>
          </w:p>
        </w:tc>
        <w:tc>
          <w:tcPr>
            <w:tcW w:w="4666" w:type="dxa"/>
            <w:gridSpan w:val="4"/>
            <w:tcBorders>
              <w:top w:val="single" w:color="000000" w:sz="4" w:space="0"/>
              <w:left w:val="single" w:color="000000" w:sz="4" w:space="0"/>
              <w:bottom w:val="nil"/>
              <w:right w:val="single" w:color="000000" w:sz="4" w:space="0"/>
            </w:tcBorders>
            <w:shd w:val="clear" w:color="auto" w:fill="auto"/>
            <w:vAlign w:val="center"/>
          </w:tcPr>
          <w:p w14:paraId="04AEAF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化行政管理，提升了保教质量，规范教研制度，创新教研形式，完成了区级小课题结题，推广研究成果，指导托管、帮扶园开展特色活动。提高师资专业水平，信息化能力，优化教师职称晋升通道。健全卫生保健工作机制，提升了健康检查合格率。组织教职工学习《民法典》，《安全生产法》等安全法规，针对后勤人员开展业务考核，交流食品安全方面的成功经验与教训。</w:t>
            </w:r>
          </w:p>
        </w:tc>
      </w:tr>
      <w:tr w14:paraId="6AE3A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4B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F15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301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00A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预期指标值</w:t>
            </w:r>
          </w:p>
        </w:tc>
        <w:tc>
          <w:tcPr>
            <w:tcW w:w="9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75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指标设定依据</w:t>
            </w: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33A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548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实际完成指标值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E0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得分</w:t>
            </w: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84E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4E8E5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DD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运行成本</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C1CE">
            <w:pPr>
              <w:rPr>
                <w:rFonts w:hint="eastAsia" w:ascii="宋体" w:hAnsi="宋体" w:eastAsia="宋体" w:cs="宋体"/>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EAB0">
            <w:pPr>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BCBD">
            <w:pPr>
              <w:rPr>
                <w:rFonts w:hint="eastAsia" w:ascii="宋体" w:hAnsi="宋体" w:eastAsia="宋体" w:cs="宋体"/>
                <w:i w:val="0"/>
                <w:iCs w:val="0"/>
                <w:color w:val="000000"/>
                <w:sz w:val="20"/>
                <w:szCs w:val="20"/>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0EA9">
            <w:pPr>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548F">
            <w:pPr>
              <w:rPr>
                <w:rFonts w:hint="eastAsia" w:ascii="宋体" w:hAnsi="宋体" w:eastAsia="宋体" w:cs="宋体"/>
                <w:i w:val="0"/>
                <w:iCs w:val="0"/>
                <w:color w:val="000000"/>
                <w:sz w:val="20"/>
                <w:szCs w:val="20"/>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7DDD">
            <w:pP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E778">
            <w:pPr>
              <w:rPr>
                <w:rFonts w:hint="eastAsia" w:ascii="宋体" w:hAnsi="宋体" w:eastAsia="宋体" w:cs="宋体"/>
                <w:i w:val="0"/>
                <w:iCs w:val="0"/>
                <w:color w:val="000000"/>
                <w:sz w:val="20"/>
                <w:szCs w:val="20"/>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4C78">
            <w:pPr>
              <w:rPr>
                <w:rFonts w:hint="eastAsia" w:ascii="宋体" w:hAnsi="宋体" w:eastAsia="宋体" w:cs="宋体"/>
                <w:i w:val="0"/>
                <w:iCs w:val="0"/>
                <w:color w:val="000000"/>
                <w:sz w:val="20"/>
                <w:szCs w:val="20"/>
                <w:u w:val="none"/>
              </w:rPr>
            </w:pPr>
          </w:p>
        </w:tc>
      </w:tr>
      <w:tr w14:paraId="744F2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E6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管理效率</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C46F">
            <w:pPr>
              <w:rPr>
                <w:rFonts w:hint="eastAsia" w:ascii="宋体" w:hAnsi="宋体" w:eastAsia="宋体" w:cs="宋体"/>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4F99">
            <w:pPr>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65F8">
            <w:pPr>
              <w:rPr>
                <w:rFonts w:hint="eastAsia" w:ascii="宋体" w:hAnsi="宋体" w:eastAsia="宋体" w:cs="宋体"/>
                <w:i w:val="0"/>
                <w:iCs w:val="0"/>
                <w:color w:val="000000"/>
                <w:sz w:val="20"/>
                <w:szCs w:val="20"/>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FDFD">
            <w:pPr>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A583">
            <w:pPr>
              <w:rPr>
                <w:rFonts w:hint="eastAsia" w:ascii="宋体" w:hAnsi="宋体" w:eastAsia="宋体" w:cs="宋体"/>
                <w:i w:val="0"/>
                <w:iCs w:val="0"/>
                <w:color w:val="000000"/>
                <w:sz w:val="20"/>
                <w:szCs w:val="20"/>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AC9F">
            <w:pP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0564">
            <w:pPr>
              <w:rPr>
                <w:rFonts w:hint="eastAsia" w:ascii="宋体" w:hAnsi="宋体" w:eastAsia="宋体" w:cs="宋体"/>
                <w:i w:val="0"/>
                <w:iCs w:val="0"/>
                <w:color w:val="000000"/>
                <w:sz w:val="20"/>
                <w:szCs w:val="20"/>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1F8A">
            <w:pPr>
              <w:rPr>
                <w:rFonts w:hint="eastAsia" w:ascii="宋体" w:hAnsi="宋体" w:eastAsia="宋体" w:cs="宋体"/>
                <w:i w:val="0"/>
                <w:iCs w:val="0"/>
                <w:color w:val="000000"/>
                <w:sz w:val="20"/>
                <w:szCs w:val="20"/>
                <w:u w:val="none"/>
              </w:rPr>
            </w:pPr>
          </w:p>
        </w:tc>
      </w:tr>
      <w:tr w14:paraId="311F0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860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履职效能</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B20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58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公用经费总额中教师培训经费占比</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2A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21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2024年重点工作计划</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E5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59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0D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3F19">
            <w:pPr>
              <w:rPr>
                <w:rFonts w:hint="eastAsia" w:ascii="宋体" w:hAnsi="宋体" w:eastAsia="宋体" w:cs="宋体"/>
                <w:i w:val="0"/>
                <w:iCs w:val="0"/>
                <w:color w:val="000000"/>
                <w:sz w:val="20"/>
                <w:szCs w:val="20"/>
                <w:u w:val="none"/>
              </w:rPr>
            </w:pPr>
          </w:p>
        </w:tc>
      </w:tr>
      <w:tr w14:paraId="6E632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0" w:hRule="atLeast"/>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0CD7C">
            <w:pPr>
              <w:rPr>
                <w:rFonts w:hint="eastAsia" w:ascii="宋体" w:hAnsi="宋体" w:eastAsia="宋体" w:cs="宋体"/>
                <w:i w:val="0"/>
                <w:iCs w:val="0"/>
                <w:color w:val="000000"/>
                <w:sz w:val="20"/>
                <w:szCs w:val="20"/>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C8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12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保障幼儿人数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35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=429人</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22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2024年重点工作计划</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5C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7E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A4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5C94">
            <w:pPr>
              <w:rPr>
                <w:rFonts w:hint="eastAsia" w:ascii="宋体" w:hAnsi="宋体" w:eastAsia="宋体" w:cs="宋体"/>
                <w:i w:val="0"/>
                <w:iCs w:val="0"/>
                <w:color w:val="000000"/>
                <w:sz w:val="20"/>
                <w:szCs w:val="20"/>
                <w:u w:val="none"/>
              </w:rPr>
            </w:pPr>
          </w:p>
        </w:tc>
      </w:tr>
      <w:tr w14:paraId="05A1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45A0E">
            <w:pPr>
              <w:rPr>
                <w:rFonts w:hint="eastAsia" w:ascii="宋体" w:hAnsi="宋体" w:eastAsia="宋体" w:cs="宋体"/>
                <w:i w:val="0"/>
                <w:iCs w:val="0"/>
                <w:color w:val="000000"/>
                <w:sz w:val="20"/>
                <w:szCs w:val="20"/>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A6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69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园所环境每月大检查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04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=12次</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FD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2024年重点工作计划</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3C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2A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10次</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32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18F6">
            <w:pPr>
              <w:rPr>
                <w:rFonts w:hint="eastAsia" w:ascii="宋体" w:hAnsi="宋体" w:eastAsia="宋体" w:cs="宋体"/>
                <w:i w:val="0"/>
                <w:iCs w:val="0"/>
                <w:color w:val="000000"/>
                <w:sz w:val="20"/>
                <w:szCs w:val="20"/>
                <w:u w:val="none"/>
              </w:rPr>
            </w:pPr>
          </w:p>
        </w:tc>
      </w:tr>
      <w:tr w14:paraId="13A88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0" w:hRule="atLeast"/>
        </w:trPr>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43F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B4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04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适龄儿童入学比例</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63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CF6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2024年重点工作计划</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39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C2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4D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8D31">
            <w:pPr>
              <w:rPr>
                <w:rFonts w:hint="eastAsia" w:ascii="宋体" w:hAnsi="宋体" w:eastAsia="宋体" w:cs="宋体"/>
                <w:i w:val="0"/>
                <w:iCs w:val="0"/>
                <w:color w:val="000000"/>
                <w:sz w:val="20"/>
                <w:szCs w:val="20"/>
                <w:u w:val="none"/>
              </w:rPr>
            </w:pPr>
          </w:p>
        </w:tc>
      </w:tr>
      <w:tr w14:paraId="272E5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F6FA9">
            <w:pPr>
              <w:rPr>
                <w:rFonts w:hint="eastAsia" w:ascii="宋体" w:hAnsi="宋体" w:eastAsia="宋体" w:cs="宋体"/>
                <w:i w:val="0"/>
                <w:iCs w:val="0"/>
                <w:color w:val="000000"/>
                <w:sz w:val="20"/>
                <w:szCs w:val="20"/>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BE2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03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周边幼儿入托率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7F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&gt;=80%</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28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2024年重点工作计划</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14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DF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9D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BB4F">
            <w:pPr>
              <w:rPr>
                <w:rFonts w:hint="eastAsia" w:ascii="宋体" w:hAnsi="宋体" w:eastAsia="宋体" w:cs="宋体"/>
                <w:i w:val="0"/>
                <w:iCs w:val="0"/>
                <w:color w:val="000000"/>
                <w:sz w:val="20"/>
                <w:szCs w:val="20"/>
                <w:u w:val="none"/>
              </w:rPr>
            </w:pPr>
          </w:p>
        </w:tc>
      </w:tr>
      <w:tr w14:paraId="1788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23E0A">
            <w:pPr>
              <w:rPr>
                <w:rFonts w:hint="eastAsia" w:ascii="宋体" w:hAnsi="宋体" w:eastAsia="宋体" w:cs="宋体"/>
                <w:i w:val="0"/>
                <w:iCs w:val="0"/>
                <w:color w:val="000000"/>
                <w:sz w:val="20"/>
                <w:szCs w:val="20"/>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41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00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农村幼儿园幼儿伙食补助人数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2A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&gt;=160人</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EC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2024年重点工作计划</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93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B3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09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11.25</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2667">
            <w:pPr>
              <w:rPr>
                <w:rFonts w:hint="eastAsia" w:ascii="宋体" w:hAnsi="宋体" w:eastAsia="宋体" w:cs="宋体"/>
                <w:i w:val="0"/>
                <w:iCs w:val="0"/>
                <w:color w:val="000000"/>
                <w:sz w:val="20"/>
                <w:szCs w:val="20"/>
                <w:u w:val="none"/>
              </w:rPr>
            </w:pPr>
          </w:p>
        </w:tc>
      </w:tr>
      <w:tr w14:paraId="36122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0"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FD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可持续发展能力</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8F34">
            <w:pPr>
              <w:rPr>
                <w:rFonts w:hint="eastAsia" w:ascii="宋体" w:hAnsi="宋体" w:eastAsia="宋体" w:cs="宋体"/>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57EC">
            <w:pPr>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F77C">
            <w:pPr>
              <w:rPr>
                <w:rFonts w:hint="eastAsia" w:ascii="宋体" w:hAnsi="宋体" w:eastAsia="宋体" w:cs="宋体"/>
                <w:i w:val="0"/>
                <w:iCs w:val="0"/>
                <w:color w:val="000000"/>
                <w:sz w:val="20"/>
                <w:szCs w:val="20"/>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1874">
            <w:pPr>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DB71">
            <w:pPr>
              <w:rPr>
                <w:rFonts w:hint="eastAsia" w:ascii="宋体" w:hAnsi="宋体" w:eastAsia="宋体" w:cs="宋体"/>
                <w:i w:val="0"/>
                <w:iCs w:val="0"/>
                <w:color w:val="000000"/>
                <w:sz w:val="20"/>
                <w:szCs w:val="20"/>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2EE1">
            <w:pP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7893">
            <w:pPr>
              <w:rPr>
                <w:rFonts w:hint="eastAsia" w:ascii="宋体" w:hAnsi="宋体" w:eastAsia="宋体" w:cs="宋体"/>
                <w:i w:val="0"/>
                <w:iCs w:val="0"/>
                <w:color w:val="000000"/>
                <w:sz w:val="20"/>
                <w:szCs w:val="20"/>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3C68">
            <w:pPr>
              <w:rPr>
                <w:rFonts w:hint="eastAsia" w:ascii="宋体" w:hAnsi="宋体" w:eastAsia="宋体" w:cs="宋体"/>
                <w:i w:val="0"/>
                <w:iCs w:val="0"/>
                <w:color w:val="000000"/>
                <w:sz w:val="20"/>
                <w:szCs w:val="20"/>
                <w:u w:val="none"/>
              </w:rPr>
            </w:pPr>
          </w:p>
        </w:tc>
      </w:tr>
      <w:tr w14:paraId="46DE5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8E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52E8">
            <w:pPr>
              <w:rPr>
                <w:rFonts w:hint="eastAsia" w:ascii="宋体" w:hAnsi="宋体" w:eastAsia="宋体" w:cs="宋体"/>
                <w:i w:val="0"/>
                <w:iCs w:val="0"/>
                <w:color w:val="000000"/>
                <w:sz w:val="20"/>
                <w:szCs w:val="20"/>
                <w:u w:val="none"/>
              </w:rPr>
            </w:pP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74A5">
            <w:pPr>
              <w:rPr>
                <w:rFonts w:hint="eastAsia" w:ascii="宋体" w:hAnsi="宋体" w:eastAsia="宋体" w:cs="宋体"/>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E450">
            <w:pPr>
              <w:rPr>
                <w:rFonts w:hint="eastAsia" w:ascii="宋体" w:hAnsi="宋体" w:eastAsia="宋体" w:cs="宋体"/>
                <w:i w:val="0"/>
                <w:iCs w:val="0"/>
                <w:color w:val="000000"/>
                <w:sz w:val="20"/>
                <w:szCs w:val="20"/>
                <w:u w:val="none"/>
              </w:rPr>
            </w:pP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E2AD">
            <w:pPr>
              <w:rPr>
                <w:rFonts w:hint="eastAsia" w:ascii="宋体" w:hAnsi="宋体" w:eastAsia="宋体" w:cs="宋体"/>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41C8">
            <w:pPr>
              <w:rPr>
                <w:rFonts w:hint="eastAsia" w:ascii="宋体" w:hAnsi="宋体" w:eastAsia="宋体" w:cs="宋体"/>
                <w:i w:val="0"/>
                <w:iCs w:val="0"/>
                <w:color w:val="000000"/>
                <w:sz w:val="20"/>
                <w:szCs w:val="20"/>
                <w:u w:val="none"/>
              </w:rPr>
            </w:pP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C4DD">
            <w:pP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B5C4">
            <w:pPr>
              <w:rPr>
                <w:rFonts w:hint="eastAsia" w:ascii="宋体" w:hAnsi="宋体" w:eastAsia="宋体" w:cs="宋体"/>
                <w:i w:val="0"/>
                <w:iCs w:val="0"/>
                <w:color w:val="000000"/>
                <w:sz w:val="20"/>
                <w:szCs w:val="20"/>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17A8">
            <w:pPr>
              <w:rPr>
                <w:rFonts w:hint="eastAsia" w:ascii="宋体" w:hAnsi="宋体" w:eastAsia="宋体" w:cs="宋体"/>
                <w:i w:val="0"/>
                <w:iCs w:val="0"/>
                <w:color w:val="000000"/>
                <w:sz w:val="20"/>
                <w:szCs w:val="20"/>
                <w:u w:val="none"/>
              </w:rPr>
            </w:pPr>
          </w:p>
        </w:tc>
      </w:tr>
    </w:tbl>
    <w:p w14:paraId="5526A908">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30AE7F06">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0984E5E3">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2A56E9A5">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56E1965F">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64B9A14D">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13458821">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379B96D0">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6CED05CA">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7AEF40AF">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5B84A405">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7D657D89">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103FA8AF">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009CB255">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tbl>
      <w:tblPr>
        <w:tblStyle w:val="12"/>
        <w:tblW w:w="9972"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8"/>
        <w:gridCol w:w="681"/>
        <w:gridCol w:w="912"/>
        <w:gridCol w:w="795"/>
        <w:gridCol w:w="1421"/>
        <w:gridCol w:w="1239"/>
        <w:gridCol w:w="1067"/>
        <w:gridCol w:w="580"/>
        <w:gridCol w:w="103"/>
        <w:gridCol w:w="486"/>
        <w:gridCol w:w="331"/>
        <w:gridCol w:w="570"/>
        <w:gridCol w:w="919"/>
      </w:tblGrid>
      <w:tr w14:paraId="2F4F2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9972" w:type="dxa"/>
            <w:gridSpan w:val="13"/>
            <w:tcBorders>
              <w:top w:val="nil"/>
              <w:left w:val="nil"/>
              <w:bottom w:val="nil"/>
              <w:right w:val="nil"/>
            </w:tcBorders>
            <w:shd w:val="clear" w:color="auto" w:fill="auto"/>
            <w:vAlign w:val="center"/>
          </w:tcPr>
          <w:p w14:paraId="658F2FE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754DC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9972" w:type="dxa"/>
            <w:gridSpan w:val="13"/>
            <w:tcBorders>
              <w:top w:val="nil"/>
              <w:left w:val="nil"/>
              <w:bottom w:val="nil"/>
              <w:right w:val="nil"/>
            </w:tcBorders>
            <w:shd w:val="clear" w:color="auto" w:fill="auto"/>
            <w:vAlign w:val="center"/>
          </w:tcPr>
          <w:p w14:paraId="6D5CB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33C50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CA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842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EC99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本级保安费</w:t>
            </w:r>
          </w:p>
        </w:tc>
      </w:tr>
      <w:tr w14:paraId="59736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15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EA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1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E2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乌鲁木齐经济技术开发区（头屯河区）教育局</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A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405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70CF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乌鲁木齐市第七幼儿园</w:t>
            </w:r>
          </w:p>
        </w:tc>
      </w:tr>
      <w:tr w14:paraId="3F76D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15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0E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1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28096">
            <w:pPr>
              <w:jc w:val="center"/>
              <w:rPr>
                <w:rFonts w:hint="eastAsia" w:ascii="宋体" w:hAnsi="宋体" w:eastAsia="宋体" w:cs="宋体"/>
                <w:i w:val="0"/>
                <w:iCs w:val="0"/>
                <w:color w:val="000000"/>
                <w:sz w:val="20"/>
                <w:szCs w:val="20"/>
                <w:u w:val="none"/>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7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4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55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1A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A5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5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791A5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15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77B85">
            <w:pPr>
              <w:jc w:val="center"/>
              <w:rPr>
                <w:rFonts w:hint="eastAsia" w:ascii="宋体" w:hAnsi="宋体" w:eastAsia="宋体" w:cs="宋体"/>
                <w:i w:val="0"/>
                <w:iCs w:val="0"/>
                <w:color w:val="000000"/>
                <w:sz w:val="20"/>
                <w:szCs w:val="20"/>
                <w:u w:val="none"/>
              </w:rPr>
            </w:pPr>
          </w:p>
        </w:tc>
        <w:tc>
          <w:tcPr>
            <w:tcW w:w="1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D9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2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79.80</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4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79.8</w:t>
            </w:r>
          </w:p>
        </w:tc>
        <w:tc>
          <w:tcPr>
            <w:tcW w:w="1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EB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53.20</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85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17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66.67%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B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6.67分</w:t>
            </w:r>
          </w:p>
        </w:tc>
      </w:tr>
      <w:tr w14:paraId="1489C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297A2">
            <w:pPr>
              <w:jc w:val="center"/>
              <w:rPr>
                <w:rFonts w:hint="eastAsia" w:ascii="宋体" w:hAnsi="宋体" w:eastAsia="宋体" w:cs="宋体"/>
                <w:i w:val="0"/>
                <w:iCs w:val="0"/>
                <w:color w:val="000000"/>
                <w:sz w:val="20"/>
                <w:szCs w:val="20"/>
                <w:u w:val="none"/>
              </w:rPr>
            </w:pPr>
          </w:p>
        </w:tc>
        <w:tc>
          <w:tcPr>
            <w:tcW w:w="1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9B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B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79.8</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4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79.8</w:t>
            </w:r>
          </w:p>
        </w:tc>
        <w:tc>
          <w:tcPr>
            <w:tcW w:w="1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0B2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53.2</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DA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F3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9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C1B8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15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B2C65">
            <w:pPr>
              <w:jc w:val="center"/>
              <w:rPr>
                <w:rFonts w:hint="eastAsia" w:ascii="宋体" w:hAnsi="宋体" w:eastAsia="宋体" w:cs="宋体"/>
                <w:i w:val="0"/>
                <w:iCs w:val="0"/>
                <w:color w:val="000000"/>
                <w:sz w:val="20"/>
                <w:szCs w:val="20"/>
                <w:u w:val="none"/>
              </w:rPr>
            </w:pPr>
          </w:p>
        </w:tc>
        <w:tc>
          <w:tcPr>
            <w:tcW w:w="1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AD6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F2C9">
            <w:pPr>
              <w:jc w:val="center"/>
              <w:rPr>
                <w:rFonts w:hint="eastAsia" w:ascii="宋体" w:hAnsi="宋体" w:eastAsia="宋体" w:cs="宋体"/>
                <w:i w:val="0"/>
                <w:iCs w:val="0"/>
                <w:color w:val="000000"/>
                <w:sz w:val="20"/>
                <w:szCs w:val="20"/>
                <w:u w:val="none"/>
              </w:rPr>
            </w:pP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C85B">
            <w:pPr>
              <w:jc w:val="center"/>
              <w:rPr>
                <w:rFonts w:hint="eastAsia" w:ascii="宋体" w:hAnsi="宋体" w:eastAsia="宋体" w:cs="宋体"/>
                <w:i w:val="0"/>
                <w:iCs w:val="0"/>
                <w:color w:val="000000"/>
                <w:sz w:val="20"/>
                <w:szCs w:val="20"/>
                <w:u w:val="none"/>
              </w:rPr>
            </w:pPr>
          </w:p>
        </w:tc>
        <w:tc>
          <w:tcPr>
            <w:tcW w:w="1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62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6F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0A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D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E58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20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04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15F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05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B85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4D33B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4" w:hRule="atLeast"/>
        </w:trPr>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E0704">
            <w:pPr>
              <w:jc w:val="center"/>
              <w:rPr>
                <w:rFonts w:hint="eastAsia" w:ascii="宋体" w:hAnsi="宋体" w:eastAsia="宋体" w:cs="宋体"/>
                <w:i w:val="0"/>
                <w:iCs w:val="0"/>
                <w:color w:val="000000"/>
                <w:sz w:val="20"/>
                <w:szCs w:val="20"/>
                <w:u w:val="none"/>
              </w:rPr>
            </w:pPr>
          </w:p>
        </w:tc>
        <w:tc>
          <w:tcPr>
            <w:tcW w:w="5048"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7E59192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根据乌鲁木齐市中小学、幼儿园安保工作方案，本项目总投资79.8万元，主要用发放学校保安工资，有利于加强学校安全保卫工作，保障学校环境安全。通过该项目实施达到切实保障师生生命、财产安全，维护正常教育教学秩序的效果。</w:t>
            </w:r>
          </w:p>
        </w:tc>
        <w:tc>
          <w:tcPr>
            <w:tcW w:w="4056"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43B0D7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全年支付七幼及托管园8个月保安费加强学校安全保卫工作，保障学校环境安全。通过该项目实施达到切实保障师生生命、财产安全，维护正常教育教学秩序的效果。</w:t>
            </w:r>
          </w:p>
        </w:tc>
      </w:tr>
      <w:tr w14:paraId="4C435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5183B">
            <w:pPr>
              <w:jc w:val="center"/>
              <w:rPr>
                <w:rFonts w:hint="eastAsia" w:ascii="宋体" w:hAnsi="宋体" w:eastAsia="宋体" w:cs="宋体"/>
                <w:i w:val="0"/>
                <w:iCs w:val="0"/>
                <w:color w:val="000000"/>
                <w:sz w:val="20"/>
                <w:szCs w:val="20"/>
                <w:u w:val="none"/>
              </w:rPr>
            </w:pP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38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C18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2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4F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2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BD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75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6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E5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1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CF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4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63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2D70B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87E9A">
            <w:pPr>
              <w:jc w:val="center"/>
              <w:rPr>
                <w:rFonts w:hint="eastAsia" w:ascii="宋体" w:hAnsi="宋体" w:eastAsia="宋体" w:cs="宋体"/>
                <w:i w:val="0"/>
                <w:iCs w:val="0"/>
                <w:color w:val="000000"/>
                <w:sz w:val="20"/>
                <w:szCs w:val="20"/>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F9993">
            <w:pPr>
              <w:jc w:val="center"/>
              <w:rPr>
                <w:rFonts w:hint="eastAsia" w:ascii="宋体" w:hAnsi="宋体" w:eastAsia="宋体" w:cs="宋体"/>
                <w:i w:val="0"/>
                <w:iCs w:val="0"/>
                <w:color w:val="000000"/>
                <w:sz w:val="20"/>
                <w:szCs w:val="20"/>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D5937">
            <w:pPr>
              <w:jc w:val="center"/>
              <w:rPr>
                <w:rFonts w:hint="eastAsia" w:ascii="宋体" w:hAnsi="宋体" w:eastAsia="宋体" w:cs="宋体"/>
                <w:i w:val="0"/>
                <w:iCs w:val="0"/>
                <w:color w:val="000000"/>
                <w:sz w:val="20"/>
                <w:szCs w:val="20"/>
                <w:u w:val="none"/>
              </w:rPr>
            </w:pPr>
          </w:p>
        </w:tc>
        <w:tc>
          <w:tcPr>
            <w:tcW w:w="22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59A20">
            <w:pPr>
              <w:jc w:val="center"/>
              <w:rPr>
                <w:rFonts w:hint="eastAsia" w:ascii="宋体" w:hAnsi="宋体" w:eastAsia="宋体" w:cs="宋体"/>
                <w:i w:val="0"/>
                <w:iCs w:val="0"/>
                <w:color w:val="000000"/>
                <w:sz w:val="20"/>
                <w:szCs w:val="20"/>
                <w:u w:val="none"/>
              </w:rPr>
            </w:pPr>
          </w:p>
        </w:tc>
        <w:tc>
          <w:tcPr>
            <w:tcW w:w="12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23264">
            <w:pPr>
              <w:jc w:val="center"/>
              <w:rPr>
                <w:rFonts w:hint="eastAsia" w:ascii="宋体" w:hAnsi="宋体" w:eastAsia="宋体" w:cs="宋体"/>
                <w:i w:val="0"/>
                <w:iCs w:val="0"/>
                <w:color w:val="000000"/>
                <w:sz w:val="20"/>
                <w:szCs w:val="20"/>
                <w:u w:val="none"/>
              </w:rPr>
            </w:pPr>
          </w:p>
        </w:tc>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D0637">
            <w:pPr>
              <w:jc w:val="center"/>
              <w:rPr>
                <w:rFonts w:hint="eastAsia" w:ascii="宋体" w:hAnsi="宋体" w:eastAsia="宋体" w:cs="宋体"/>
                <w:i w:val="0"/>
                <w:iCs w:val="0"/>
                <w:color w:val="000000"/>
                <w:sz w:val="20"/>
                <w:szCs w:val="20"/>
                <w:u w:val="none"/>
              </w:rPr>
            </w:pPr>
          </w:p>
        </w:tc>
        <w:tc>
          <w:tcPr>
            <w:tcW w:w="6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DEB56">
            <w:pPr>
              <w:jc w:val="center"/>
              <w:rPr>
                <w:rFonts w:hint="eastAsia" w:ascii="宋体" w:hAnsi="宋体" w:eastAsia="宋体" w:cs="宋体"/>
                <w:i w:val="0"/>
                <w:iCs w:val="0"/>
                <w:color w:val="000000"/>
                <w:sz w:val="20"/>
                <w:szCs w:val="20"/>
                <w:u w:val="none"/>
              </w:rPr>
            </w:pPr>
          </w:p>
        </w:tc>
        <w:tc>
          <w:tcPr>
            <w:tcW w:w="81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CCEAF">
            <w:pPr>
              <w:jc w:val="center"/>
              <w:rPr>
                <w:rFonts w:hint="eastAsia" w:ascii="宋体" w:hAnsi="宋体" w:eastAsia="宋体" w:cs="宋体"/>
                <w:i w:val="0"/>
                <w:iCs w:val="0"/>
                <w:color w:val="000000"/>
                <w:sz w:val="20"/>
                <w:szCs w:val="20"/>
                <w:u w:val="none"/>
              </w:rPr>
            </w:pPr>
          </w:p>
        </w:tc>
        <w:tc>
          <w:tcPr>
            <w:tcW w:w="14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2E587">
            <w:pPr>
              <w:jc w:val="center"/>
              <w:rPr>
                <w:rFonts w:hint="eastAsia" w:ascii="宋体" w:hAnsi="宋体" w:eastAsia="宋体" w:cs="宋体"/>
                <w:i w:val="0"/>
                <w:iCs w:val="0"/>
                <w:color w:val="000000"/>
                <w:sz w:val="20"/>
                <w:szCs w:val="20"/>
                <w:u w:val="none"/>
              </w:rPr>
            </w:pPr>
          </w:p>
        </w:tc>
      </w:tr>
      <w:tr w14:paraId="76440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8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92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95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75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20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保安人数</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C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=19人</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A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=19人</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D0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A3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9B5AF">
            <w:pPr>
              <w:jc w:val="center"/>
              <w:rPr>
                <w:rFonts w:hint="eastAsia" w:ascii="宋体" w:hAnsi="宋体" w:eastAsia="宋体" w:cs="宋体"/>
                <w:i w:val="0"/>
                <w:iCs w:val="0"/>
                <w:color w:val="000000"/>
                <w:sz w:val="20"/>
                <w:szCs w:val="20"/>
                <w:u w:val="none"/>
              </w:rPr>
            </w:pPr>
          </w:p>
        </w:tc>
      </w:tr>
      <w:tr w14:paraId="7ECC7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9" w:hRule="atLeast"/>
        </w:trPr>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DE7FF">
            <w:pPr>
              <w:jc w:val="center"/>
              <w:rPr>
                <w:rFonts w:hint="eastAsia" w:ascii="宋体" w:hAnsi="宋体" w:eastAsia="宋体" w:cs="宋体"/>
                <w:i w:val="0"/>
                <w:iCs w:val="0"/>
                <w:color w:val="000000"/>
                <w:sz w:val="20"/>
                <w:szCs w:val="20"/>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C58D4">
            <w:pPr>
              <w:jc w:val="center"/>
              <w:rPr>
                <w:rFonts w:hint="eastAsia" w:ascii="宋体" w:hAnsi="宋体" w:eastAsia="宋体" w:cs="宋体"/>
                <w:i w:val="0"/>
                <w:iCs w:val="0"/>
                <w:color w:val="000000"/>
                <w:sz w:val="20"/>
                <w:szCs w:val="20"/>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75326">
            <w:pPr>
              <w:jc w:val="center"/>
              <w:rPr>
                <w:rFonts w:hint="eastAsia" w:ascii="宋体" w:hAnsi="宋体" w:eastAsia="宋体" w:cs="宋体"/>
                <w:i w:val="0"/>
                <w:iCs w:val="0"/>
                <w:color w:val="000000"/>
                <w:sz w:val="20"/>
                <w:szCs w:val="20"/>
                <w:u w:val="none"/>
              </w:rPr>
            </w:pP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58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保安工资年发放次数</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0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=12次</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4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=8次</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7B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15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6.67</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D2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由于财政资金紧张，要求每2个月支付一次保安费，所以没有完成绩效支付次数指标</w:t>
            </w:r>
          </w:p>
        </w:tc>
      </w:tr>
      <w:tr w14:paraId="3EA0B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D5F4E">
            <w:pPr>
              <w:jc w:val="center"/>
              <w:rPr>
                <w:rFonts w:hint="eastAsia" w:ascii="宋体" w:hAnsi="宋体" w:eastAsia="宋体" w:cs="宋体"/>
                <w:i w:val="0"/>
                <w:iCs w:val="0"/>
                <w:color w:val="000000"/>
                <w:sz w:val="20"/>
                <w:szCs w:val="20"/>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23ADE">
            <w:pPr>
              <w:jc w:val="center"/>
              <w:rPr>
                <w:rFonts w:hint="eastAsia" w:ascii="宋体" w:hAnsi="宋体" w:eastAsia="宋体" w:cs="宋体"/>
                <w:i w:val="0"/>
                <w:iCs w:val="0"/>
                <w:color w:val="000000"/>
                <w:sz w:val="20"/>
                <w:szCs w:val="20"/>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9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646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保安工资发放合格率</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4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C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8C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FC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B6071">
            <w:pPr>
              <w:jc w:val="center"/>
              <w:rPr>
                <w:rFonts w:hint="eastAsia" w:ascii="宋体" w:hAnsi="宋体" w:eastAsia="宋体" w:cs="宋体"/>
                <w:i w:val="0"/>
                <w:iCs w:val="0"/>
                <w:color w:val="000000"/>
                <w:sz w:val="20"/>
                <w:szCs w:val="20"/>
                <w:u w:val="none"/>
              </w:rPr>
            </w:pPr>
          </w:p>
        </w:tc>
      </w:tr>
      <w:tr w14:paraId="4E404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783FF">
            <w:pPr>
              <w:jc w:val="center"/>
              <w:rPr>
                <w:rFonts w:hint="eastAsia" w:ascii="宋体" w:hAnsi="宋体" w:eastAsia="宋体" w:cs="宋体"/>
                <w:i w:val="0"/>
                <w:iCs w:val="0"/>
                <w:color w:val="000000"/>
                <w:sz w:val="20"/>
                <w:szCs w:val="20"/>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FC4DB">
            <w:pPr>
              <w:jc w:val="center"/>
              <w:rPr>
                <w:rFonts w:hint="eastAsia" w:ascii="宋体" w:hAnsi="宋体" w:eastAsia="宋体" w:cs="宋体"/>
                <w:i w:val="0"/>
                <w:iCs w:val="0"/>
                <w:color w:val="000000"/>
                <w:sz w:val="20"/>
                <w:szCs w:val="20"/>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3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55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保安工资发放及时率</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A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3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24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8A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572CF">
            <w:pPr>
              <w:jc w:val="center"/>
              <w:rPr>
                <w:rFonts w:hint="eastAsia" w:ascii="宋体" w:hAnsi="宋体" w:eastAsia="宋体" w:cs="宋体"/>
                <w:i w:val="0"/>
                <w:iCs w:val="0"/>
                <w:color w:val="000000"/>
                <w:sz w:val="20"/>
                <w:szCs w:val="20"/>
                <w:u w:val="none"/>
              </w:rPr>
            </w:pPr>
          </w:p>
        </w:tc>
      </w:tr>
      <w:tr w14:paraId="771E6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690B1">
            <w:pPr>
              <w:jc w:val="center"/>
              <w:rPr>
                <w:rFonts w:hint="eastAsia" w:ascii="宋体" w:hAnsi="宋体" w:eastAsia="宋体" w:cs="宋体"/>
                <w:i w:val="0"/>
                <w:iCs w:val="0"/>
                <w:color w:val="000000"/>
                <w:sz w:val="20"/>
                <w:szCs w:val="20"/>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D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A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FB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人均工资标准</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9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=3500元/月</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D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=3500元/月</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75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A9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F737A8">
            <w:pPr>
              <w:jc w:val="center"/>
              <w:rPr>
                <w:rFonts w:hint="eastAsia" w:ascii="宋体" w:hAnsi="宋体" w:eastAsia="宋体" w:cs="宋体"/>
                <w:i w:val="0"/>
                <w:iCs w:val="0"/>
                <w:color w:val="000000"/>
                <w:sz w:val="20"/>
                <w:szCs w:val="20"/>
                <w:u w:val="none"/>
              </w:rPr>
            </w:pPr>
          </w:p>
        </w:tc>
      </w:tr>
      <w:tr w14:paraId="4CD2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D29C4">
            <w:pPr>
              <w:jc w:val="center"/>
              <w:rPr>
                <w:rFonts w:hint="eastAsia" w:ascii="宋体" w:hAnsi="宋体" w:eastAsia="宋体" w:cs="宋体"/>
                <w:i w:val="0"/>
                <w:iCs w:val="0"/>
                <w:color w:val="000000"/>
                <w:sz w:val="20"/>
                <w:szCs w:val="20"/>
                <w:u w:val="none"/>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F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0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28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改善学校安全保障等级</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7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8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A8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D3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664BD">
            <w:pPr>
              <w:jc w:val="center"/>
              <w:rPr>
                <w:rFonts w:hint="eastAsia" w:ascii="宋体" w:hAnsi="宋体" w:eastAsia="宋体" w:cs="宋体"/>
                <w:i w:val="0"/>
                <w:iCs w:val="0"/>
                <w:color w:val="000000"/>
                <w:sz w:val="20"/>
                <w:szCs w:val="20"/>
                <w:u w:val="none"/>
              </w:rPr>
            </w:pPr>
          </w:p>
        </w:tc>
      </w:tr>
      <w:tr w14:paraId="272E8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C8E38">
            <w:pPr>
              <w:jc w:val="center"/>
              <w:rPr>
                <w:rFonts w:hint="eastAsia" w:ascii="宋体" w:hAnsi="宋体" w:eastAsia="宋体" w:cs="宋体"/>
                <w:i w:val="0"/>
                <w:iCs w:val="0"/>
                <w:color w:val="000000"/>
                <w:sz w:val="20"/>
                <w:szCs w:val="20"/>
                <w:u w:val="none"/>
              </w:rPr>
            </w:pP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CD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FA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05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32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3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E3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29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1DCF5">
            <w:pPr>
              <w:jc w:val="center"/>
              <w:rPr>
                <w:rFonts w:hint="eastAsia" w:ascii="宋体" w:hAnsi="宋体" w:eastAsia="宋体" w:cs="宋体"/>
                <w:i w:val="0"/>
                <w:iCs w:val="0"/>
                <w:color w:val="000000"/>
                <w:sz w:val="20"/>
                <w:szCs w:val="20"/>
                <w:u w:val="none"/>
              </w:rPr>
            </w:pPr>
          </w:p>
        </w:tc>
      </w:tr>
      <w:tr w14:paraId="3FD2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8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9630B">
            <w:pPr>
              <w:jc w:val="center"/>
              <w:rPr>
                <w:rFonts w:hint="eastAsia" w:ascii="宋体" w:hAnsi="宋体" w:eastAsia="宋体" w:cs="宋体"/>
                <w:i w:val="0"/>
                <w:iCs w:val="0"/>
                <w:color w:val="000000"/>
                <w:sz w:val="20"/>
                <w:szCs w:val="20"/>
                <w:u w:val="none"/>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2B86E">
            <w:pPr>
              <w:jc w:val="center"/>
              <w:rPr>
                <w:rFonts w:hint="eastAsia" w:ascii="宋体" w:hAnsi="宋体" w:eastAsia="宋体" w:cs="宋体"/>
                <w:i w:val="0"/>
                <w:iCs w:val="0"/>
                <w:color w:val="000000"/>
                <w:sz w:val="20"/>
                <w:szCs w:val="20"/>
                <w:u w:val="none"/>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B49CF">
            <w:pPr>
              <w:jc w:val="center"/>
              <w:rPr>
                <w:rFonts w:hint="eastAsia" w:ascii="宋体" w:hAnsi="宋体" w:eastAsia="宋体" w:cs="宋体"/>
                <w:i w:val="0"/>
                <w:iCs w:val="0"/>
                <w:color w:val="000000"/>
                <w:sz w:val="20"/>
                <w:szCs w:val="20"/>
                <w:u w:val="none"/>
              </w:rPr>
            </w:pPr>
          </w:p>
        </w:tc>
        <w:tc>
          <w:tcPr>
            <w:tcW w:w="22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47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教师满意度</w:t>
            </w:r>
          </w:p>
        </w:tc>
        <w:tc>
          <w:tcPr>
            <w:tcW w:w="12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4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&gt;=100%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F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63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3D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DB0D5">
            <w:pPr>
              <w:jc w:val="center"/>
              <w:rPr>
                <w:rFonts w:hint="eastAsia" w:ascii="宋体" w:hAnsi="宋体" w:eastAsia="宋体" w:cs="宋体"/>
                <w:i w:val="0"/>
                <w:iCs w:val="0"/>
                <w:color w:val="000000"/>
                <w:sz w:val="20"/>
                <w:szCs w:val="20"/>
                <w:u w:val="none"/>
              </w:rPr>
            </w:pPr>
          </w:p>
        </w:tc>
      </w:tr>
      <w:tr w14:paraId="1C604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atLeast"/>
        </w:trPr>
        <w:tc>
          <w:tcPr>
            <w:tcW w:w="698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2FF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D4FD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sz w:val="20"/>
                <w:szCs w:val="20"/>
                <w:u w:val="none"/>
                <w:lang w:val="en-US" w:eastAsia="zh-CN"/>
              </w:rPr>
              <w:t>100</w:t>
            </w:r>
          </w:p>
        </w:tc>
        <w:tc>
          <w:tcPr>
            <w:tcW w:w="8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52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93.34分</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31B68">
            <w:pPr>
              <w:jc w:val="center"/>
              <w:rPr>
                <w:rFonts w:hint="eastAsia" w:ascii="宋体" w:hAnsi="宋体" w:eastAsia="宋体" w:cs="宋体"/>
                <w:i w:val="0"/>
                <w:iCs w:val="0"/>
                <w:color w:val="000000"/>
                <w:sz w:val="20"/>
                <w:szCs w:val="20"/>
                <w:u w:val="none"/>
              </w:rPr>
            </w:pPr>
          </w:p>
        </w:tc>
      </w:tr>
    </w:tbl>
    <w:p w14:paraId="23176F44">
      <w:pPr>
        <w:widowControl/>
        <w:spacing w:before="0" w:beforeLines="0" w:beforeAutospacing="0" w:after="0" w:afterLines="0" w:afterAutospacing="0" w:line="240" w:lineRule="auto"/>
        <w:jc w:val="left"/>
        <w:outlineLvl w:val="1"/>
        <w:rPr>
          <w:rFonts w:ascii="黑体" w:eastAsia="黑体"/>
          <w:b w:val="0"/>
          <w:sz w:val="32"/>
          <w:szCs w:val="32"/>
        </w:rPr>
      </w:pPr>
    </w:p>
    <w:p w14:paraId="4D7EF9C6">
      <w:pPr>
        <w:widowControl/>
        <w:spacing w:before="0" w:beforeLines="0" w:beforeAutospacing="0" w:after="0" w:afterLines="0" w:afterAutospacing="0" w:line="240" w:lineRule="auto"/>
        <w:jc w:val="left"/>
        <w:outlineLvl w:val="1"/>
        <w:rPr>
          <w:rFonts w:ascii="黑体" w:eastAsia="黑体"/>
          <w:b w:val="0"/>
          <w:sz w:val="32"/>
          <w:szCs w:val="32"/>
        </w:rPr>
      </w:pPr>
    </w:p>
    <w:p w14:paraId="5D6BF59C">
      <w:pPr>
        <w:widowControl/>
        <w:spacing w:before="0" w:beforeLines="0" w:beforeAutospacing="0" w:after="0" w:afterLines="0" w:afterAutospacing="0" w:line="240" w:lineRule="auto"/>
        <w:ind w:firstLine="640" w:firstLineChars="200"/>
        <w:jc w:val="left"/>
        <w:outlineLvl w:val="1"/>
        <w:rPr>
          <w:rFonts w:ascii="黑体" w:eastAsia="黑体"/>
          <w:b w:val="0"/>
          <w:sz w:val="32"/>
          <w:szCs w:val="32"/>
        </w:rPr>
      </w:pPr>
    </w:p>
    <w:p w14:paraId="6DC5ECA8">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十二、其他需说明的事项</w:t>
      </w:r>
    </w:p>
    <w:p w14:paraId="240C9B74">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本单位无其他需说明事项。</w:t>
      </w:r>
    </w:p>
    <w:p w14:paraId="6D2DCB57">
      <w:pPr>
        <w:widowControl/>
        <w:spacing w:before="0" w:beforeLines="0" w:beforeAutospacing="0" w:after="0" w:afterLines="0" w:afterAutospacing="0" w:line="240" w:lineRule="auto"/>
        <w:ind w:firstLine="640" w:firstLineChars="200"/>
        <w:jc w:val="left"/>
        <w:rPr>
          <w:rFonts w:ascii="仿宋_GB2312" w:eastAsia="仿宋_GB2312"/>
          <w:sz w:val="32"/>
          <w:szCs w:val="32"/>
        </w:rPr>
      </w:pPr>
    </w:p>
    <w:p w14:paraId="0773733E">
      <w:pPr>
        <w:widowControl/>
      </w:pPr>
      <w:r>
        <w:rPr>
          <w:b w:val="0"/>
          <w:sz w:val="0"/>
          <w:szCs w:val="0"/>
        </w:rPr>
        <w:br w:type="page"/>
      </w:r>
    </w:p>
    <w:p w14:paraId="3C906E95">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第三部分 专业名词解释</w:t>
      </w:r>
    </w:p>
    <w:p w14:paraId="626DA780">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14:paraId="7A665A57">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14:paraId="2008FD13">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14:paraId="5FAA7646">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14:paraId="229CE6F1">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14:paraId="1784D6D4">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14:paraId="7293D78C">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14:paraId="3E613827">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C3023ED">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14:paraId="15BFC300">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14:paraId="3F30DEB6">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14:paraId="174494F0">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14:paraId="01AB8C70">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8A2427A">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14:paraId="13D6E17C">
      <w:pPr>
        <w:widowControl/>
      </w:pPr>
      <w:r>
        <w:rPr>
          <w:b w:val="0"/>
          <w:sz w:val="0"/>
          <w:szCs w:val="0"/>
        </w:rPr>
        <w:br w:type="page"/>
      </w:r>
    </w:p>
    <w:p w14:paraId="4860F072">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第四部分 部门决算报表（见附表）</w:t>
      </w:r>
    </w:p>
    <w:p w14:paraId="1BBBB115">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一、《收入支出决算总表》</w:t>
      </w:r>
    </w:p>
    <w:p w14:paraId="22AB579D">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二、《收入决算表》</w:t>
      </w:r>
    </w:p>
    <w:p w14:paraId="102D82F6">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三、《支出决算表》</w:t>
      </w:r>
    </w:p>
    <w:p w14:paraId="742717FC">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四、《财政拨款收入支出决算总表》</w:t>
      </w:r>
    </w:p>
    <w:p w14:paraId="3EA1BAAD">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五、《一般公共预算财政拨款支出决算表》</w:t>
      </w:r>
    </w:p>
    <w:p w14:paraId="0406E91B">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六、《一般公共预算财政拨款基本支出决算表》</w:t>
      </w:r>
    </w:p>
    <w:p w14:paraId="31670163">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七、《政府性基金预算财政拨款收入支出决算表》</w:t>
      </w:r>
    </w:p>
    <w:p w14:paraId="3307E549">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14:paraId="1A182D3F">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Setting w:name="overrideTableStyleFontSizeAndJustification" w:uri="http://schemas.microsoft.com/office/word" w:val="1"/>
  </w:compat>
  <w:docVars>
    <w:docVar w:name="commondata" w:val="eyJoZGlkIjoiOTQwNDdlOWY1MzI1NGY0MDE4MmQ2NDQ1OTQ2ODg2MjYifQ=="/>
  </w:docVars>
  <w:rsids>
    <w:rsidRoot w:val="00000000"/>
    <w:rsid w:val="03B401E6"/>
    <w:rsid w:val="07E46820"/>
    <w:rsid w:val="0CDF547D"/>
    <w:rsid w:val="18D7107E"/>
    <w:rsid w:val="1A9D7FC6"/>
    <w:rsid w:val="1CAD41BE"/>
    <w:rsid w:val="1D455AAC"/>
    <w:rsid w:val="429F402B"/>
    <w:rsid w:val="50836D3A"/>
    <w:rsid w:val="530F08A1"/>
    <w:rsid w:val="54BC3EA2"/>
    <w:rsid w:val="5C580156"/>
    <w:rsid w:val="5D470E7F"/>
    <w:rsid w:val="648E3BFD"/>
    <w:rsid w:val="6C8D27F7"/>
    <w:rsid w:val="6C904A7D"/>
    <w:rsid w:val="6FC52B3B"/>
    <w:rsid w:val="74561329"/>
    <w:rsid w:val="74B44E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qFormat="1"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3">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4">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2">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rPr>
  </w:style>
  <w:style w:type="paragraph" w:styleId="8">
    <w:name w:val="annotation text"/>
    <w:basedOn w:val="1"/>
    <w:semiHidden/>
    <w:unhideWhenUsed/>
    <w:qFormat/>
    <w:uiPriority w:val="99"/>
    <w:pPr>
      <w:jc w:val="left"/>
    </w:pPr>
  </w:style>
  <w:style w:type="paragraph" w:styleId="9">
    <w:name w:val="header"/>
    <w:basedOn w:val="1"/>
    <w:link w:val="17"/>
    <w:unhideWhenUsed/>
    <w:qFormat/>
    <w:uiPriority w:val="99"/>
    <w:pPr>
      <w:tabs>
        <w:tab w:val="center" w:pos="4680"/>
        <w:tab w:val="right" w:pos="9360"/>
      </w:tabs>
    </w:pPr>
  </w:style>
  <w:style w:type="paragraph" w:styleId="10">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paragraph" w:styleId="11">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table" w:styleId="13">
    <w:name w:val="Table Grid"/>
    <w:basedOn w:val="12"/>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Emphasis"/>
    <w:basedOn w:val="14"/>
    <w:qFormat/>
    <w:uiPriority w:val="20"/>
    <w:rPr>
      <w:i/>
      <w:iCs/>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link w:val="9"/>
    <w:qFormat/>
    <w:uiPriority w:val="99"/>
  </w:style>
  <w:style w:type="character" w:customStyle="1" w:styleId="18">
    <w:name w:val="Heading 1 Char"/>
    <w:basedOn w:val="14"/>
    <w:link w:val="3"/>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14"/>
    <w:link w:val="4"/>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14"/>
    <w:link w:val="2"/>
    <w:qFormat/>
    <w:uiPriority w:val="9"/>
    <w:rPr>
      <w:rFonts w:asciiTheme="majorHAnsi" w:hAnsiTheme="majorHAnsi" w:eastAsiaTheme="majorEastAsia" w:cstheme="majorBidi"/>
      <w:b/>
      <w:bCs/>
      <w:color w:val="4F81BD" w:themeColor="accent1"/>
    </w:rPr>
  </w:style>
  <w:style w:type="character" w:customStyle="1" w:styleId="21">
    <w:name w:val="Heading 4 Char"/>
    <w:basedOn w:val="14"/>
    <w:link w:val="5"/>
    <w:uiPriority w:val="9"/>
    <w:rPr>
      <w:rFonts w:asciiTheme="majorHAnsi" w:hAnsiTheme="majorHAnsi" w:eastAsiaTheme="majorEastAsia" w:cstheme="majorBidi"/>
      <w:b/>
      <w:bCs/>
      <w:i/>
      <w:iCs/>
      <w:color w:val="4F81BD" w:themeColor="accent1"/>
    </w:rPr>
  </w:style>
  <w:style w:type="character" w:customStyle="1" w:styleId="22">
    <w:name w:val="Subtitle Char"/>
    <w:basedOn w:val="14"/>
    <w:link w:val="10"/>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14"/>
    <w:link w:val="11"/>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5953</Words>
  <Characters>6704</Characters>
  <TotalTime>19</TotalTime>
  <ScaleCrop>false</ScaleCrop>
  <LinksUpToDate>false</LinksUpToDate>
  <CharactersWithSpaces>6723</CharactersWithSpaces>
  <Application>WPS Office_12.8.2.21555_F1E327BC-269C-435d-A152-05C5408002CA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2025-10-14T03:28:00Z</dcterms:created>
  <dc:creator>Administrator</dc:creator>
  <cp:lastModifiedBy>Administrator</cp:lastModifiedBy>
  <dcterms:modified xsi:type="dcterms:W3CDTF">2025-11-04T09:35:39Z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BBCF4128628942D196EDE70D3AA92549</vt:lpwstr>
  </property>
  <property fmtid="{D5CDD505-2E9C-101B-9397-08002B2CF9AE}" pid="4" name="KSOTemplateDocerSaveRecord">
    <vt:lpwstr>eyJoZGlkIjoiN2YzOTI0NGY0YjE5ZTRkNDcwMWIwZGZmMmIxMjE5YmUiLCJ1c2VySWQiOiIyNjgxOTU3NjUifQ==</vt:lpwstr>
  </property>
</Properties>
</file>