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A035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textAlignment w:val="auto"/>
        <w:outlineLvl w:val="0"/>
        <w:rPr>
          <w:rFonts w:ascii="宋体" w:eastAsia="黑体"/>
          <w:b w:val="0"/>
          <w:color w:val="auto"/>
          <w:sz w:val="44"/>
          <w:szCs w:val="44"/>
        </w:rPr>
      </w:pPr>
    </w:p>
    <w:p w14:paraId="22744C5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textAlignment w:val="auto"/>
        <w:outlineLvl w:val="0"/>
        <w:rPr>
          <w:rFonts w:ascii="宋体" w:eastAsia="黑体"/>
          <w:b w:val="0"/>
          <w:color w:val="auto"/>
          <w:sz w:val="44"/>
          <w:szCs w:val="44"/>
        </w:rPr>
      </w:pPr>
    </w:p>
    <w:p w14:paraId="7E58F8C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textAlignment w:val="auto"/>
        <w:outlineLvl w:val="0"/>
        <w:rPr>
          <w:rFonts w:ascii="宋体" w:eastAsia="黑体"/>
          <w:b w:val="0"/>
          <w:color w:val="auto"/>
          <w:sz w:val="44"/>
          <w:szCs w:val="44"/>
        </w:rPr>
      </w:pPr>
    </w:p>
    <w:p w14:paraId="0DF9FAD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宋体" w:eastAsia="黑体"/>
          <w:b w:val="0"/>
          <w:color w:val="auto"/>
          <w:sz w:val="44"/>
          <w:szCs w:val="44"/>
        </w:rPr>
      </w:pPr>
      <w:r>
        <w:rPr>
          <w:rFonts w:ascii="宋体" w:eastAsia="黑体"/>
          <w:b w:val="0"/>
          <w:color w:val="auto"/>
          <w:sz w:val="44"/>
          <w:szCs w:val="44"/>
        </w:rPr>
        <w:t>乌鲁木齐经济技术开发区（乌鲁木齐市</w:t>
      </w:r>
    </w:p>
    <w:p w14:paraId="5341143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宋体" w:eastAsia="黑体"/>
          <w:color w:val="auto"/>
          <w:sz w:val="44"/>
          <w:szCs w:val="44"/>
        </w:rPr>
      </w:pPr>
      <w:r>
        <w:rPr>
          <w:rFonts w:ascii="宋体" w:eastAsia="黑体"/>
          <w:b w:val="0"/>
          <w:color w:val="auto"/>
          <w:sz w:val="44"/>
          <w:szCs w:val="44"/>
        </w:rPr>
        <w:t>头屯河区）机关事务管理中心</w:t>
      </w:r>
    </w:p>
    <w:p w14:paraId="6301816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color w:val="auto"/>
          <w:sz w:val="44"/>
          <w:szCs w:val="44"/>
        </w:rPr>
      </w:pPr>
      <w:r>
        <w:rPr>
          <w:rFonts w:ascii="黑体" w:eastAsia="黑体"/>
          <w:b w:val="0"/>
          <w:color w:val="auto"/>
          <w:sz w:val="44"/>
          <w:szCs w:val="44"/>
        </w:rPr>
        <w:t>2024年度部门决算公开说明</w:t>
      </w:r>
    </w:p>
    <w:p w14:paraId="0C0CA960">
      <w:pPr>
        <w:keepNext w:val="0"/>
        <w:keepLines w:val="0"/>
        <w:pageBreakBefore w:val="0"/>
        <w:widowControl/>
        <w:kinsoku/>
        <w:wordWrap/>
        <w:overflowPunct/>
        <w:topLinePunct w:val="0"/>
        <w:autoSpaceDE/>
        <w:autoSpaceDN/>
        <w:bidi w:val="0"/>
        <w:adjustRightInd/>
        <w:snapToGrid/>
        <w:spacing w:line="560" w:lineRule="exact"/>
        <w:textAlignment w:val="auto"/>
        <w:rPr>
          <w:color w:val="auto"/>
        </w:rPr>
      </w:pPr>
      <w:r>
        <w:rPr>
          <w:b w:val="0"/>
          <w:color w:val="auto"/>
          <w:sz w:val="0"/>
          <w:szCs w:val="0"/>
        </w:rPr>
        <w:br w:type="page"/>
      </w:r>
    </w:p>
    <w:p w14:paraId="146AAAA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ascii="黑体" w:eastAsia="黑体"/>
          <w:color w:val="auto"/>
          <w:sz w:val="32"/>
          <w:szCs w:val="32"/>
        </w:rPr>
      </w:pPr>
      <w:r>
        <w:rPr>
          <w:rFonts w:ascii="黑体" w:eastAsia="黑体"/>
          <w:b/>
          <w:color w:val="auto"/>
          <w:sz w:val="32"/>
          <w:szCs w:val="32"/>
        </w:rPr>
        <w:t>目  录</w:t>
      </w:r>
    </w:p>
    <w:p w14:paraId="756DADC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color w:val="auto"/>
          <w:sz w:val="32"/>
          <w:szCs w:val="32"/>
        </w:rPr>
        <w:t>第一部分</w:t>
      </w:r>
      <w:r>
        <w:rPr>
          <w:rFonts w:hint="eastAsia" w:ascii="仿宋_GB2312" w:eastAsia="仿宋_GB2312"/>
          <w:b/>
          <w:color w:val="auto"/>
          <w:sz w:val="32"/>
          <w:szCs w:val="32"/>
          <w:lang w:val="en-US" w:eastAsia="zh-CN"/>
        </w:rPr>
        <w:t xml:space="preserve">  </w:t>
      </w:r>
      <w:r>
        <w:rPr>
          <w:rFonts w:ascii="仿宋_GB2312" w:eastAsia="仿宋_GB2312"/>
          <w:b/>
          <w:color w:val="auto"/>
          <w:sz w:val="32"/>
          <w:szCs w:val="32"/>
        </w:rPr>
        <w:t>单位概况</w:t>
      </w:r>
    </w:p>
    <w:p w14:paraId="3B8C3A4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一、主要职能</w:t>
      </w:r>
    </w:p>
    <w:p w14:paraId="4888A8F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二、机构设置及人员情况</w:t>
      </w:r>
    </w:p>
    <w:p w14:paraId="2B8EC02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color w:val="auto"/>
          <w:sz w:val="32"/>
          <w:szCs w:val="32"/>
        </w:rPr>
        <w:t>第二部分</w:t>
      </w:r>
      <w:r>
        <w:rPr>
          <w:rFonts w:hint="eastAsia" w:ascii="仿宋_GB2312" w:eastAsia="仿宋_GB2312"/>
          <w:b/>
          <w:color w:val="auto"/>
          <w:sz w:val="32"/>
          <w:szCs w:val="32"/>
          <w:lang w:val="en-US" w:eastAsia="zh-CN"/>
        </w:rPr>
        <w:t xml:space="preserve">  单位</w:t>
      </w:r>
      <w:r>
        <w:rPr>
          <w:rFonts w:ascii="仿宋_GB2312" w:eastAsia="仿宋_GB2312"/>
          <w:b/>
          <w:color w:val="auto"/>
          <w:sz w:val="32"/>
          <w:szCs w:val="32"/>
        </w:rPr>
        <w:t>决算情况说明</w:t>
      </w:r>
    </w:p>
    <w:p w14:paraId="6D0D225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一、收入支出决算总体情况说明</w:t>
      </w:r>
    </w:p>
    <w:p w14:paraId="1089B95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二、收入决算情况说明</w:t>
      </w:r>
    </w:p>
    <w:p w14:paraId="4F54463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三、支出决算情况说明</w:t>
      </w:r>
    </w:p>
    <w:p w14:paraId="4DDE226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四、财政拨款收入支出决算总体情况说明</w:t>
      </w:r>
    </w:p>
    <w:p w14:paraId="58F6818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五、一般公共预算财政拨款支出决算情况说明</w:t>
      </w:r>
    </w:p>
    <w:p w14:paraId="01FD293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（一）一般公共预算财政拨款支出决算总体情况</w:t>
      </w:r>
    </w:p>
    <w:p w14:paraId="1A6B45A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（二）一般公共预算财政拨款支出决算结构情况</w:t>
      </w:r>
    </w:p>
    <w:p w14:paraId="4C2FE01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（三）一般公共预算财政拨款支出决算具体情况</w:t>
      </w:r>
    </w:p>
    <w:p w14:paraId="315CF40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六、一般公共预算财政拨款基本支出决算情况说明</w:t>
      </w:r>
    </w:p>
    <w:p w14:paraId="30C401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七、政府性基金预算财政拨款收入支出决算情况说明</w:t>
      </w:r>
    </w:p>
    <w:p w14:paraId="5BC6012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八、国有资本经营预算财政拨款收入支出决算情况说明</w:t>
      </w:r>
    </w:p>
    <w:p w14:paraId="0057BA7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九、财政拨款“三公”经费支出决算情况说明</w:t>
      </w:r>
    </w:p>
    <w:p w14:paraId="5ACD96A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十、其他重要事项的情况说明</w:t>
      </w:r>
    </w:p>
    <w:p w14:paraId="1237352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（一）机关运行经费及公用经费支出情况</w:t>
      </w:r>
    </w:p>
    <w:p w14:paraId="0CF3B9E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（二）政府采购情况</w:t>
      </w:r>
    </w:p>
    <w:p w14:paraId="4D7004E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（三）国有资产占用情况说明</w:t>
      </w:r>
    </w:p>
    <w:p w14:paraId="78589A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十一、预算绩效的情况说明</w:t>
      </w:r>
    </w:p>
    <w:p w14:paraId="2D01E53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十二、其他需说明的事项</w:t>
      </w:r>
    </w:p>
    <w:p w14:paraId="68F5A61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color w:val="auto"/>
          <w:sz w:val="32"/>
          <w:szCs w:val="32"/>
        </w:rPr>
        <w:t>第三部分 专业名词解释</w:t>
      </w:r>
    </w:p>
    <w:p w14:paraId="66029EA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color w:val="auto"/>
          <w:sz w:val="32"/>
          <w:szCs w:val="32"/>
        </w:rPr>
        <w:t xml:space="preserve">第四部分 </w:t>
      </w:r>
      <w:r>
        <w:rPr>
          <w:rFonts w:hint="eastAsia" w:ascii="仿宋_GB2312" w:eastAsia="仿宋_GB2312"/>
          <w:b/>
          <w:color w:val="auto"/>
          <w:sz w:val="32"/>
          <w:szCs w:val="32"/>
          <w:lang w:val="en-US" w:eastAsia="zh-CN"/>
        </w:rPr>
        <w:t>单位</w:t>
      </w:r>
      <w:r>
        <w:rPr>
          <w:rFonts w:ascii="仿宋_GB2312" w:eastAsia="仿宋_GB2312"/>
          <w:b/>
          <w:color w:val="auto"/>
          <w:sz w:val="32"/>
          <w:szCs w:val="32"/>
        </w:rPr>
        <w:t>决算报表（见附表）</w:t>
      </w:r>
    </w:p>
    <w:p w14:paraId="6AEEE21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一、《收入支出决算总表》</w:t>
      </w:r>
    </w:p>
    <w:p w14:paraId="74C19FA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二、《收入决算表》</w:t>
      </w:r>
    </w:p>
    <w:p w14:paraId="34BA78A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三、《支出决算表》</w:t>
      </w:r>
    </w:p>
    <w:p w14:paraId="4474724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四、《财政拨款收入支出决算总表》</w:t>
      </w:r>
    </w:p>
    <w:p w14:paraId="0CD24FE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五、《一般公共预算财政拨款支出决算表》</w:t>
      </w:r>
    </w:p>
    <w:p w14:paraId="0E496DE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六、《一般公共预算财政拨款基本支出决算表》</w:t>
      </w:r>
    </w:p>
    <w:p w14:paraId="0F0C912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七、《政府性基金预算财政拨款收入支出决算表》</w:t>
      </w:r>
    </w:p>
    <w:p w14:paraId="5AD9EF1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八、《国有资本经营预算财政拨款收入支出决算表》</w:t>
      </w:r>
    </w:p>
    <w:p w14:paraId="5465ECD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color w:val="auto"/>
          <w:sz w:val="32"/>
          <w:szCs w:val="32"/>
        </w:rPr>
      </w:pPr>
      <w:r>
        <w:rPr>
          <w:rFonts w:ascii="仿宋_GB2312" w:eastAsia="仿宋_GB2312"/>
          <w:b w:val="0"/>
          <w:color w:val="auto"/>
          <w:sz w:val="32"/>
          <w:szCs w:val="32"/>
        </w:rPr>
        <w:t>九、《财政拨款“三公”经费支出决算表》</w:t>
      </w:r>
    </w:p>
    <w:p w14:paraId="18B0670C">
      <w:pPr>
        <w:keepNext w:val="0"/>
        <w:keepLines w:val="0"/>
        <w:pageBreakBefore w:val="0"/>
        <w:widowControl/>
        <w:kinsoku/>
        <w:wordWrap/>
        <w:overflowPunct/>
        <w:topLinePunct w:val="0"/>
        <w:autoSpaceDE/>
        <w:autoSpaceDN/>
        <w:bidi w:val="0"/>
        <w:adjustRightInd/>
        <w:snapToGrid/>
        <w:spacing w:line="560" w:lineRule="exact"/>
        <w:textAlignment w:val="auto"/>
        <w:rPr>
          <w:color w:val="auto"/>
        </w:rPr>
      </w:pPr>
      <w:r>
        <w:rPr>
          <w:b w:val="0"/>
          <w:color w:val="auto"/>
          <w:sz w:val="0"/>
          <w:szCs w:val="0"/>
        </w:rPr>
        <w:br w:type="page"/>
      </w:r>
    </w:p>
    <w:p w14:paraId="56D10D1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color w:val="auto"/>
          <w:sz w:val="32"/>
          <w:szCs w:val="32"/>
        </w:rPr>
      </w:pPr>
      <w:r>
        <w:rPr>
          <w:rFonts w:ascii="黑体" w:eastAsia="黑体"/>
          <w:b w:val="0"/>
          <w:color w:val="auto"/>
          <w:sz w:val="32"/>
          <w:szCs w:val="32"/>
        </w:rPr>
        <w:t>第一部分 单位概况</w:t>
      </w:r>
    </w:p>
    <w:p w14:paraId="53C4FFD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 一、主要职能</w:t>
      </w:r>
    </w:p>
    <w:p w14:paraId="6BA8ED1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hint="eastAsia" w:ascii="仿宋_GB2312" w:hAnsi="黑体" w:eastAsia="仿宋_GB2312" w:cs="宋体"/>
          <w:bCs/>
          <w:color w:val="auto"/>
          <w:kern w:val="0"/>
          <w:sz w:val="32"/>
          <w:szCs w:val="32"/>
          <w:highlight w:val="none"/>
        </w:rPr>
        <w:t>我单位为全额拨款事业单位，主要承担机关事务管理、基建房产、固定资产管理、节能减排、机关食堂、车辆、物业、保洁、保卫、安全生产工作。</w:t>
      </w:r>
    </w:p>
    <w:p w14:paraId="2C3826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二、机构设置及人员情况</w:t>
      </w:r>
    </w:p>
    <w:p w14:paraId="6F50E77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乌鲁木齐经济技术开发区（乌鲁木齐市头屯河区）机关事务管理中心2024年度，实有人数71人，其中：在职人员61人，减少5人；离休人员0人，较上年无变化；退休人员10人，增加10人。</w:t>
      </w:r>
    </w:p>
    <w:p w14:paraId="265DB7C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乌鲁木齐经济技术开发区（乌鲁木齐市头屯河区）机关事务管理中心无下属预算单位，下设</w:t>
      </w:r>
      <w:r>
        <w:rPr>
          <w:rFonts w:hint="eastAsia" w:ascii="仿宋_GB2312" w:hAnsi="黑体" w:eastAsia="仿宋_GB2312" w:cs="宋体"/>
          <w:bCs/>
          <w:color w:val="auto"/>
          <w:kern w:val="0"/>
          <w:sz w:val="32"/>
          <w:szCs w:val="32"/>
          <w:highlight w:val="none"/>
          <w:lang w:val="en-US" w:eastAsia="zh-CN"/>
        </w:rPr>
        <w:t>3</w:t>
      </w:r>
      <w:r>
        <w:rPr>
          <w:rFonts w:hint="eastAsia" w:ascii="仿宋_GB2312" w:hAnsi="黑体" w:eastAsia="仿宋_GB2312" w:cs="宋体"/>
          <w:bCs/>
          <w:color w:val="auto"/>
          <w:kern w:val="0"/>
          <w:sz w:val="32"/>
          <w:szCs w:val="32"/>
          <w:highlight w:val="none"/>
        </w:rPr>
        <w:t>个处室</w:t>
      </w:r>
      <w:r>
        <w:rPr>
          <w:rFonts w:ascii="仿宋_GB2312" w:eastAsia="仿宋_GB2312"/>
          <w:b w:val="0"/>
          <w:color w:val="auto"/>
          <w:sz w:val="32"/>
          <w:szCs w:val="32"/>
        </w:rPr>
        <w:t>，分别是：</w:t>
      </w:r>
      <w:r>
        <w:rPr>
          <w:rFonts w:hint="eastAsia" w:ascii="仿宋_GB2312" w:hAnsi="宋体" w:eastAsia="仿宋_GB2312" w:cs="宋体"/>
          <w:color w:val="auto"/>
          <w:kern w:val="0"/>
          <w:sz w:val="32"/>
          <w:szCs w:val="32"/>
          <w:highlight w:val="none"/>
          <w:lang w:eastAsia="zh-CN"/>
        </w:rPr>
        <w:t>综合办公室、物业管理科、车辆管理科</w:t>
      </w:r>
      <w:r>
        <w:rPr>
          <w:rFonts w:ascii="仿宋_GB2312" w:eastAsia="仿宋_GB2312"/>
          <w:b w:val="0"/>
          <w:color w:val="auto"/>
          <w:sz w:val="32"/>
          <w:szCs w:val="32"/>
        </w:rPr>
        <w:t>。</w:t>
      </w:r>
    </w:p>
    <w:p w14:paraId="48400ADF">
      <w:pPr>
        <w:keepNext w:val="0"/>
        <w:keepLines w:val="0"/>
        <w:pageBreakBefore w:val="0"/>
        <w:widowControl/>
        <w:kinsoku/>
        <w:wordWrap/>
        <w:overflowPunct/>
        <w:topLinePunct w:val="0"/>
        <w:autoSpaceDE/>
        <w:autoSpaceDN/>
        <w:bidi w:val="0"/>
        <w:adjustRightInd/>
        <w:snapToGrid/>
        <w:spacing w:line="560" w:lineRule="exact"/>
        <w:textAlignment w:val="auto"/>
        <w:rPr>
          <w:color w:val="auto"/>
        </w:rPr>
      </w:pPr>
      <w:r>
        <w:rPr>
          <w:b w:val="0"/>
          <w:color w:val="auto"/>
          <w:sz w:val="0"/>
          <w:szCs w:val="0"/>
        </w:rPr>
        <w:br w:type="page"/>
      </w:r>
    </w:p>
    <w:p w14:paraId="75AC73D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color w:val="auto"/>
          <w:sz w:val="32"/>
          <w:szCs w:val="32"/>
        </w:rPr>
      </w:pPr>
      <w:r>
        <w:rPr>
          <w:rFonts w:ascii="黑体" w:eastAsia="黑体"/>
          <w:b w:val="0"/>
          <w:color w:val="auto"/>
          <w:sz w:val="32"/>
          <w:szCs w:val="32"/>
        </w:rPr>
        <w:t xml:space="preserve">第二部分 </w:t>
      </w:r>
      <w:r>
        <w:rPr>
          <w:rFonts w:hint="eastAsia" w:ascii="黑体" w:eastAsia="黑体"/>
          <w:b w:val="0"/>
          <w:color w:val="auto"/>
          <w:sz w:val="32"/>
          <w:szCs w:val="32"/>
          <w:lang w:val="en-US" w:eastAsia="zh-CN"/>
        </w:rPr>
        <w:t>单位</w:t>
      </w:r>
      <w:r>
        <w:rPr>
          <w:rFonts w:ascii="黑体" w:eastAsia="黑体"/>
          <w:b w:val="0"/>
          <w:color w:val="auto"/>
          <w:sz w:val="32"/>
          <w:szCs w:val="32"/>
        </w:rPr>
        <w:t>决算情况说明</w:t>
      </w:r>
    </w:p>
    <w:p w14:paraId="33BE749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一、收入支出决算总体情况说明</w:t>
      </w:r>
    </w:p>
    <w:p w14:paraId="7D4B7FE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2024年度收入总计2,320.23万元，其中：本年收入合计2,320.23万元，使用非财政拨款结余（含专用结余）0.00万元，年初结转和结余0.00万元。</w:t>
      </w:r>
    </w:p>
    <w:p w14:paraId="128F07F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2024年度支出总计2,320.23万元，其中：本年支出合计2,320.23万元，结余分配0.00万元，年末结转和结余0.00万元。</w:t>
      </w:r>
    </w:p>
    <w:p w14:paraId="5CF5494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收入支出总体与上年相比，增加708.52万元，增长43.96%，主要原因是：</w:t>
      </w:r>
      <w:r>
        <w:rPr>
          <w:rFonts w:hint="eastAsia" w:ascii="仿宋_GB2312" w:eastAsia="仿宋_GB2312"/>
          <w:b w:val="0"/>
          <w:color w:val="auto"/>
          <w:sz w:val="32"/>
          <w:szCs w:val="32"/>
          <w:lang w:val="en-US" w:eastAsia="zh-CN"/>
        </w:rPr>
        <w:t>2024年支付以前年度暖气费、电费等费用</w:t>
      </w:r>
      <w:r>
        <w:rPr>
          <w:rFonts w:ascii="仿宋_GB2312" w:eastAsia="仿宋_GB2312"/>
          <w:b w:val="0"/>
          <w:color w:val="auto"/>
          <w:sz w:val="32"/>
          <w:szCs w:val="32"/>
        </w:rPr>
        <w:t>。</w:t>
      </w:r>
    </w:p>
    <w:p w14:paraId="1E4886D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二、收入决算情况说明</w:t>
      </w:r>
    </w:p>
    <w:p w14:paraId="2A95B2F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本年收入2,320.23万元，其中：财政拨款收入2,320.23万元,占100.00%；上级补助收入0.00万元,占0.00%；事业收入0.00万元，占0.00%；经营收入0.00万元,占0.00%；附属单位上缴收入0.00万元，占0.00%；其他收入0.00万元，占0.00%。</w:t>
      </w:r>
    </w:p>
    <w:p w14:paraId="3DA11D8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三、支出决算情况说明</w:t>
      </w:r>
    </w:p>
    <w:p w14:paraId="786851F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本年支出2,320.23万元，其中：基本支出2,272.71万元，占97.95%；项目支出47.52万元，占2.05%；上缴上级支出0.00万元，占0.00%；经营支出0.00万元，占0.00%；对附属单位补助支出0.00万元，占0.00%。</w:t>
      </w:r>
    </w:p>
    <w:p w14:paraId="016B56B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四、财政拨款收入支出决算总体情况说明</w:t>
      </w:r>
    </w:p>
    <w:p w14:paraId="0A3B7A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财政拨款收入总计2,320.23万元，其中：年初财政拨款结转和结余0.00万元，本年财政拨款收入2,320.23万元。财政拨款支出总计2,320.23万元，其中：年末财政拨款结转和结余0.00万元，本年财政拨款支出2,320.23万元。</w:t>
      </w:r>
    </w:p>
    <w:p w14:paraId="4B6F6DB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财政拨款收入支出总体与上年相比，增加708.52万元，增长43.96%，主要原因是：</w:t>
      </w:r>
      <w:r>
        <w:rPr>
          <w:rFonts w:hint="eastAsia" w:ascii="仿宋_GB2312" w:eastAsia="仿宋_GB2312"/>
          <w:b w:val="0"/>
          <w:color w:val="auto"/>
          <w:sz w:val="32"/>
          <w:szCs w:val="32"/>
          <w:lang w:val="en-US" w:eastAsia="zh-CN"/>
        </w:rPr>
        <w:t>2024年支付以前年度暖气费、电费等费用</w:t>
      </w:r>
      <w:r>
        <w:rPr>
          <w:rFonts w:ascii="仿宋_GB2312" w:eastAsia="仿宋_GB2312"/>
          <w:b w:val="0"/>
          <w:color w:val="auto"/>
          <w:sz w:val="32"/>
          <w:szCs w:val="32"/>
        </w:rPr>
        <w:t>。与年初预算相比，年初预算数3,010.07万元，决算数2,320.23万元，预决算差异率-22.92%，主要原因是：</w:t>
      </w:r>
      <w:r>
        <w:rPr>
          <w:rFonts w:hint="eastAsia" w:ascii="仿宋_GB2312" w:eastAsia="仿宋_GB2312"/>
          <w:b w:val="0"/>
          <w:color w:val="auto"/>
          <w:sz w:val="32"/>
          <w:szCs w:val="32"/>
          <w:lang w:eastAsia="zh-CN"/>
        </w:rPr>
        <w:t>调减部分公务用车油料费</w:t>
      </w:r>
      <w:r>
        <w:rPr>
          <w:rFonts w:ascii="仿宋_GB2312" w:eastAsia="仿宋_GB2312"/>
          <w:b w:val="0"/>
          <w:color w:val="auto"/>
          <w:sz w:val="32"/>
          <w:szCs w:val="32"/>
        </w:rPr>
        <w:t>。</w:t>
      </w:r>
    </w:p>
    <w:p w14:paraId="678D533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五、一般公共预算财政拨款支出决算情况说明</w:t>
      </w:r>
    </w:p>
    <w:p w14:paraId="62DDB1B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color w:val="auto"/>
          <w:sz w:val="32"/>
          <w:szCs w:val="32"/>
        </w:rPr>
      </w:pPr>
      <w:r>
        <w:rPr>
          <w:rFonts w:ascii="黑体" w:eastAsia="黑体"/>
          <w:b w:val="0"/>
          <w:color w:val="auto"/>
          <w:sz w:val="32"/>
          <w:szCs w:val="32"/>
        </w:rPr>
        <w:t>（一）一般公共预算财政拨款支出决算总体情况</w:t>
      </w:r>
    </w:p>
    <w:p w14:paraId="5EAA49B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2024年度一般公共预算财政拨款支出2,320.23万元，占本年支出合计的100.00%。与上年相比，增加708.52万元，增长43.96%，主要原因是：</w:t>
      </w:r>
      <w:r>
        <w:rPr>
          <w:rFonts w:hint="eastAsia" w:ascii="仿宋_GB2312" w:eastAsia="仿宋_GB2312"/>
          <w:b w:val="0"/>
          <w:color w:val="auto"/>
          <w:sz w:val="32"/>
          <w:szCs w:val="32"/>
          <w:lang w:val="en-US" w:eastAsia="zh-CN"/>
        </w:rPr>
        <w:t>2024年支付以前年度暖气费、电费等费用</w:t>
      </w:r>
      <w:r>
        <w:rPr>
          <w:rFonts w:ascii="仿宋_GB2312" w:eastAsia="仿宋_GB2312"/>
          <w:b w:val="0"/>
          <w:color w:val="auto"/>
          <w:sz w:val="32"/>
          <w:szCs w:val="32"/>
        </w:rPr>
        <w:t>。与年初预算相比，年初预算数3,010.07万元，决算数2,320.23万元，预决算差异率-22.92%，主要原因是：</w:t>
      </w:r>
      <w:r>
        <w:rPr>
          <w:rFonts w:hint="eastAsia" w:ascii="仿宋_GB2312" w:eastAsia="仿宋_GB2312"/>
          <w:color w:val="auto"/>
          <w:spacing w:val="0"/>
          <w:sz w:val="32"/>
          <w:szCs w:val="32"/>
          <w:highlight w:val="none"/>
          <w:lang w:val="en-US" w:eastAsia="zh-CN"/>
        </w:rPr>
        <w:t>一是厉行节约，</w:t>
      </w:r>
      <w:r>
        <w:rPr>
          <w:rFonts w:hint="eastAsia" w:ascii="仿宋_GB2312" w:eastAsia="仿宋_GB2312"/>
          <w:b w:val="0"/>
          <w:color w:val="auto"/>
          <w:sz w:val="32"/>
          <w:szCs w:val="32"/>
          <w:lang w:val="en-US" w:eastAsia="zh-CN"/>
        </w:rPr>
        <w:t>报废车辆，停运班车，餐费降低财政补贴部分</w:t>
      </w:r>
      <w:r>
        <w:rPr>
          <w:rFonts w:ascii="仿宋_GB2312" w:eastAsia="仿宋_GB2312"/>
          <w:b w:val="0"/>
          <w:color w:val="auto"/>
          <w:sz w:val="32"/>
          <w:szCs w:val="32"/>
        </w:rPr>
        <w:t>。</w:t>
      </w:r>
    </w:p>
    <w:p w14:paraId="53A23EF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color w:val="auto"/>
          <w:sz w:val="32"/>
          <w:szCs w:val="32"/>
        </w:rPr>
      </w:pPr>
      <w:r>
        <w:rPr>
          <w:rFonts w:ascii="黑体" w:eastAsia="黑体"/>
          <w:b w:val="0"/>
          <w:color w:val="auto"/>
          <w:sz w:val="32"/>
          <w:szCs w:val="32"/>
        </w:rPr>
        <w:t>（二）一般公共预算财政拨款支出决算结构情况</w:t>
      </w:r>
    </w:p>
    <w:p w14:paraId="0425664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一般公共服务支出（类）2,150.88万元，占92.70%。</w:t>
      </w:r>
    </w:p>
    <w:p w14:paraId="1D49507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社会保障和就业支出（类）149.36万元，占6.44%。</w:t>
      </w:r>
    </w:p>
    <w:p w14:paraId="4853683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节能环保支出（类）20.00万元，占0.86%。</w:t>
      </w:r>
    </w:p>
    <w:p w14:paraId="68025B1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color w:val="auto"/>
          <w:sz w:val="32"/>
          <w:szCs w:val="32"/>
        </w:rPr>
      </w:pPr>
      <w:r>
        <w:rPr>
          <w:rFonts w:ascii="黑体" w:eastAsia="黑体"/>
          <w:b w:val="0"/>
          <w:color w:val="auto"/>
          <w:sz w:val="32"/>
          <w:szCs w:val="32"/>
        </w:rPr>
        <w:t>（三）一般公共预算财政拨款支出决算具体情况</w:t>
      </w:r>
    </w:p>
    <w:p w14:paraId="5315AE7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color w:val="auto"/>
          <w:sz w:val="32"/>
          <w:szCs w:val="32"/>
        </w:rPr>
      </w:pPr>
      <w:r>
        <w:rPr>
          <w:rFonts w:ascii="仿宋_GB2312" w:eastAsia="仿宋_GB2312"/>
          <w:b w:val="0"/>
          <w:color w:val="auto"/>
          <w:sz w:val="32"/>
          <w:szCs w:val="32"/>
        </w:rPr>
        <w:t>1、一般公共服务支出（类）政府办公厅（室）及相关机构事务（款）机关服务（项）：支出决算数为2,150.88万元，比上年决算增加721.72万元，增长50.50%，主要原因是：</w:t>
      </w:r>
      <w:bookmarkStart w:id="0" w:name="OLE_LINK1"/>
      <w:r>
        <w:rPr>
          <w:rFonts w:hint="eastAsia" w:ascii="仿宋_GB2312" w:eastAsia="仿宋_GB2312"/>
          <w:b w:val="0"/>
          <w:color w:val="auto"/>
          <w:sz w:val="32"/>
          <w:szCs w:val="32"/>
          <w:lang w:val="en-US" w:eastAsia="zh-CN"/>
        </w:rPr>
        <w:t>2024年支付以前年度暖气费、电费等费用</w:t>
      </w:r>
      <w:bookmarkEnd w:id="0"/>
      <w:r>
        <w:rPr>
          <w:rFonts w:hint="eastAsia" w:ascii="仿宋_GB2312" w:eastAsia="仿宋_GB2312"/>
          <w:b w:val="0"/>
          <w:color w:val="auto"/>
          <w:sz w:val="32"/>
          <w:szCs w:val="32"/>
          <w:lang w:val="en-US" w:eastAsia="zh-CN"/>
        </w:rPr>
        <w:t>。</w:t>
      </w:r>
    </w:p>
    <w:p w14:paraId="21FF50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color w:val="auto"/>
          <w:sz w:val="32"/>
          <w:szCs w:val="32"/>
          <w:lang w:val="en-US" w:eastAsia="zh-CN"/>
        </w:rPr>
      </w:pPr>
      <w:r>
        <w:rPr>
          <w:rFonts w:ascii="仿宋_GB2312" w:eastAsia="仿宋_GB2312"/>
          <w:b w:val="0"/>
          <w:color w:val="auto"/>
          <w:sz w:val="32"/>
          <w:szCs w:val="32"/>
        </w:rPr>
        <w:t>2、社会保障和就业支出（类）行政事业单位养老支出（款）事业单位离退休（项）：支出决算数为3.34万元，比上年决算增加3.34万元，增长100.00%，主要原因是：</w:t>
      </w:r>
      <w:r>
        <w:rPr>
          <w:rFonts w:hint="eastAsia" w:ascii="仿宋_GB2312" w:eastAsia="仿宋_GB2312"/>
          <w:b w:val="0"/>
          <w:color w:val="auto"/>
          <w:sz w:val="32"/>
          <w:szCs w:val="32"/>
          <w:lang w:val="en-US" w:eastAsia="zh-CN"/>
        </w:rPr>
        <w:t>2024年起由各单位负责退休人员绩效考核奖及采暖补贴等支出。</w:t>
      </w:r>
    </w:p>
    <w:p w14:paraId="70039D8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color w:val="auto"/>
          <w:sz w:val="32"/>
          <w:szCs w:val="32"/>
          <w:lang w:val="en-US"/>
        </w:rPr>
      </w:pPr>
      <w:r>
        <w:rPr>
          <w:rFonts w:ascii="仿宋_GB2312" w:eastAsia="仿宋_GB2312"/>
          <w:b w:val="0"/>
          <w:color w:val="auto"/>
          <w:sz w:val="32"/>
          <w:szCs w:val="32"/>
        </w:rPr>
        <w:t>3、社会保障和就业支出（类）行政事业单位养老支出（款）机关事业单位基本养老保险缴费支出（项）：支出决算数为109.69万元，比上年决算减少3.59万元，下降3.17%，主要原因是：</w:t>
      </w:r>
      <w:r>
        <w:rPr>
          <w:rFonts w:hint="eastAsia" w:ascii="仿宋_GB2312" w:hAnsi="仿宋_GB2312" w:eastAsia="仿宋_GB2312" w:cs="仿宋_GB2312"/>
          <w:color w:val="auto"/>
          <w:kern w:val="0"/>
          <w:sz w:val="32"/>
          <w:szCs w:val="32"/>
          <w:highlight w:val="none"/>
          <w:lang w:val="en-US" w:eastAsia="zh-CN"/>
        </w:rPr>
        <w:t>2024年</w:t>
      </w:r>
      <w:r>
        <w:rPr>
          <w:rFonts w:hint="eastAsia" w:ascii="仿宋_GB2312" w:hAnsi="仿宋_GB2312" w:eastAsia="仿宋_GB2312" w:cs="仿宋_GB2312"/>
          <w:color w:val="auto"/>
          <w:kern w:val="0"/>
          <w:sz w:val="32"/>
          <w:szCs w:val="32"/>
          <w:highlight w:val="none"/>
          <w:lang w:eastAsia="zh-CN"/>
        </w:rPr>
        <w:t>在职人员较上年减少</w:t>
      </w:r>
      <w:r>
        <w:rPr>
          <w:rFonts w:hint="eastAsia" w:ascii="仿宋_GB2312" w:hAnsi="仿宋_GB2312" w:eastAsia="仿宋_GB2312" w:cs="仿宋_GB2312"/>
          <w:color w:val="auto"/>
          <w:kern w:val="0"/>
          <w:sz w:val="32"/>
          <w:szCs w:val="32"/>
          <w:highlight w:val="none"/>
          <w:lang w:val="en-US" w:eastAsia="zh-CN"/>
        </w:rPr>
        <w:t>5人。</w:t>
      </w:r>
    </w:p>
    <w:p w14:paraId="7D7C6F4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color w:val="auto"/>
          <w:sz w:val="32"/>
          <w:szCs w:val="32"/>
          <w:lang w:val="en-US" w:eastAsia="zh-CN"/>
        </w:rPr>
      </w:pPr>
      <w:r>
        <w:rPr>
          <w:rFonts w:ascii="仿宋_GB2312" w:eastAsia="仿宋_GB2312"/>
          <w:b w:val="0"/>
          <w:color w:val="auto"/>
          <w:sz w:val="32"/>
          <w:szCs w:val="32"/>
        </w:rPr>
        <w:t>4、社会保障和就业支出（类）行政事业单位养老支出（款）机关事业单位职业年金缴费支出（项）：支出决算数为36.33万元，比上年决算减少32.95万元，下降47.56%，主要原因是：</w:t>
      </w:r>
      <w:r>
        <w:rPr>
          <w:rFonts w:hint="eastAsia" w:ascii="仿宋_GB2312" w:eastAsia="仿宋_GB2312"/>
          <w:b w:val="0"/>
          <w:color w:val="auto"/>
          <w:sz w:val="32"/>
          <w:szCs w:val="32"/>
          <w:lang w:val="en-US" w:eastAsia="zh-CN"/>
        </w:rPr>
        <w:t>2024年退休人员较上年减少。</w:t>
      </w:r>
    </w:p>
    <w:p w14:paraId="3E6983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color w:val="auto"/>
          <w:sz w:val="32"/>
          <w:szCs w:val="32"/>
          <w:lang w:val="en-US" w:eastAsia="zh-CN"/>
        </w:rPr>
      </w:pPr>
      <w:r>
        <w:rPr>
          <w:rFonts w:ascii="仿宋_GB2312" w:eastAsia="仿宋_GB2312"/>
          <w:b w:val="0"/>
          <w:color w:val="auto"/>
          <w:sz w:val="32"/>
          <w:szCs w:val="32"/>
        </w:rPr>
        <w:t>5、节能环保支出（类）能源节约利用（款）能源节约利用（项）：支出决算数为20.00万元，比上年决算增加20.00万元，增长100.00%，主要原因是：</w:t>
      </w:r>
      <w:r>
        <w:rPr>
          <w:rFonts w:hint="eastAsia" w:ascii="仿宋_GB2312" w:eastAsia="仿宋_GB2312"/>
          <w:b w:val="0"/>
          <w:color w:val="auto"/>
          <w:sz w:val="32"/>
          <w:szCs w:val="32"/>
          <w:lang w:val="en-US" w:eastAsia="zh-CN"/>
        </w:rPr>
        <w:t>2024年上级拨付自治区全社会节能减排专项资金预算。</w:t>
      </w:r>
    </w:p>
    <w:p w14:paraId="401BFA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六、一般公共预算财政拨款基本支出决算情况说明</w:t>
      </w:r>
    </w:p>
    <w:p w14:paraId="6A7FF9A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ascii="仿宋_GB2312" w:eastAsia="仿宋_GB2312"/>
          <w:color w:val="auto"/>
          <w:sz w:val="32"/>
          <w:szCs w:val="32"/>
        </w:rPr>
      </w:pPr>
      <w:r>
        <w:rPr>
          <w:rFonts w:ascii="仿宋_GB2312" w:eastAsia="仿宋_GB2312"/>
          <w:b w:val="0"/>
          <w:color w:val="auto"/>
          <w:sz w:val="32"/>
          <w:szCs w:val="32"/>
        </w:rPr>
        <w:t>2024年度一般公共预算财政拨款基本支出2,272.71万元，其中：人员经费1,159.88万元，包括基本工资、津贴补贴、奖金、机关事业单位基本养老保险缴费、职业年金缴费、职工基本医疗保险缴费、公务员医疗补助缴费、其他社会保障缴费、住房公积金和生活补助。</w:t>
      </w:r>
    </w:p>
    <w:p w14:paraId="3D0E31D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公用经费1,112.84万元，包括：办公费、电费、邮电费、取暖费、差旅费、维修（护）费、租赁费、会议费、培训费、公务接待费、委托业务费、工会经费、福利费、公务用车运行维护费和办公设备购置。</w:t>
      </w:r>
    </w:p>
    <w:p w14:paraId="0AE31A4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七、政府性基金预算财政拨款收入支出决算情况说明</w:t>
      </w:r>
    </w:p>
    <w:p w14:paraId="6FF7089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本单位本年度无政府性基金预算财政拨款收入、支出及结转和结余，政府性基金预算财政拨款收入支出决算表为空表。</w:t>
      </w:r>
    </w:p>
    <w:p w14:paraId="19F1A55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八、国有资本经营预算财政拨款收入支出决算情况说明</w:t>
      </w:r>
    </w:p>
    <w:p w14:paraId="537D01B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本单位本年度无国有资本经营预算财政拨款收入、支出及结转和结余，国有资本经营预算财政拨款收入支出决算表为空表。</w:t>
      </w:r>
    </w:p>
    <w:p w14:paraId="5D33671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九、财政拨款“三公”经费支出决算情况说明</w:t>
      </w:r>
    </w:p>
    <w:p w14:paraId="7364867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2024年度财政拨款“三公”经费支出128.70万元，比上年增加18.57万元，增长16.86%，主要原因是：</w:t>
      </w:r>
      <w:r>
        <w:rPr>
          <w:rFonts w:hint="eastAsia" w:ascii="仿宋_GB2312" w:eastAsia="仿宋_GB2312"/>
          <w:b w:val="0"/>
          <w:color w:val="auto"/>
          <w:sz w:val="32"/>
          <w:szCs w:val="32"/>
          <w:lang w:val="en-US" w:eastAsia="zh-CN"/>
        </w:rPr>
        <w:t>新任职领导，配置公务用车</w:t>
      </w:r>
      <w:r>
        <w:rPr>
          <w:rFonts w:hint="eastAsia" w:ascii="仿宋_GB2312" w:eastAsia="仿宋_GB2312"/>
          <w:b w:val="0"/>
          <w:color w:val="auto"/>
          <w:sz w:val="32"/>
          <w:szCs w:val="32"/>
          <w:lang w:eastAsia="zh-CN"/>
        </w:rPr>
        <w:t>，运行维护费增加</w:t>
      </w:r>
      <w:r>
        <w:rPr>
          <w:rFonts w:ascii="仿宋_GB2312" w:eastAsia="仿宋_GB2312"/>
          <w:b w:val="0"/>
          <w:color w:val="auto"/>
          <w:sz w:val="32"/>
          <w:szCs w:val="32"/>
        </w:rPr>
        <w:t>。其中：因公出国（境）费支出0.00万元,占0.00%，与上年相比无变化，主要原因是：</w:t>
      </w:r>
      <w:r>
        <w:rPr>
          <w:rFonts w:hint="eastAsia" w:ascii="仿宋_GB2312" w:eastAsia="仿宋_GB2312"/>
          <w:color w:val="auto"/>
          <w:sz w:val="32"/>
          <w:szCs w:val="32"/>
          <w:highlight w:val="none"/>
        </w:rPr>
        <w:t>无此项业务发生</w:t>
      </w:r>
      <w:r>
        <w:rPr>
          <w:rFonts w:ascii="仿宋_GB2312" w:eastAsia="仿宋_GB2312"/>
          <w:b w:val="0"/>
          <w:color w:val="auto"/>
          <w:sz w:val="32"/>
          <w:szCs w:val="32"/>
        </w:rPr>
        <w:t>；公务用车购置及运行维护费支出127.27万元，占98.89%，比上年增加19.94万元，增长18.58%，主要原因是：</w:t>
      </w:r>
      <w:r>
        <w:rPr>
          <w:rFonts w:hint="eastAsia" w:ascii="仿宋_GB2312" w:eastAsia="仿宋_GB2312"/>
          <w:b w:val="0"/>
          <w:color w:val="auto"/>
          <w:sz w:val="32"/>
          <w:szCs w:val="32"/>
          <w:lang w:eastAsia="zh-CN"/>
        </w:rPr>
        <w:t>公务用车使用率提高，运行维护费增加</w:t>
      </w:r>
      <w:r>
        <w:rPr>
          <w:rFonts w:ascii="仿宋_GB2312" w:eastAsia="仿宋_GB2312"/>
          <w:b w:val="0"/>
          <w:color w:val="auto"/>
          <w:sz w:val="32"/>
          <w:szCs w:val="32"/>
        </w:rPr>
        <w:t>；公务接待费支出1.44万元，占1.12%，比上年减少1.36万元，下降48.57%，主要原因是：</w:t>
      </w:r>
      <w:r>
        <w:rPr>
          <w:rFonts w:hint="eastAsia" w:ascii="仿宋_GB2312" w:eastAsia="仿宋_GB2312"/>
          <w:b w:val="0"/>
          <w:color w:val="auto"/>
          <w:sz w:val="32"/>
          <w:szCs w:val="32"/>
          <w:lang w:eastAsia="zh-CN"/>
        </w:rPr>
        <w:t>按要求严格控制公务接待支出</w:t>
      </w:r>
      <w:r>
        <w:rPr>
          <w:rFonts w:ascii="仿宋_GB2312" w:eastAsia="仿宋_GB2312"/>
          <w:b w:val="0"/>
          <w:color w:val="auto"/>
          <w:sz w:val="32"/>
          <w:szCs w:val="32"/>
        </w:rPr>
        <w:t>。</w:t>
      </w:r>
    </w:p>
    <w:p w14:paraId="03BF055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color w:val="auto"/>
          <w:sz w:val="32"/>
          <w:szCs w:val="32"/>
        </w:rPr>
      </w:pPr>
      <w:r>
        <w:rPr>
          <w:rFonts w:ascii="仿宋_GB2312" w:eastAsia="仿宋_GB2312"/>
          <w:b w:val="0"/>
          <w:color w:val="auto"/>
          <w:sz w:val="32"/>
          <w:szCs w:val="32"/>
        </w:rPr>
        <w:t>具体情况如下：</w:t>
      </w:r>
    </w:p>
    <w:p w14:paraId="5A7AC01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因公出国（境）费支出0.00万元，</w:t>
      </w:r>
      <w:r>
        <w:rPr>
          <w:rFonts w:hint="eastAsia" w:ascii="仿宋_GB2312" w:eastAsia="仿宋_GB2312"/>
          <w:color w:val="auto"/>
          <w:sz w:val="32"/>
          <w:szCs w:val="32"/>
          <w:highlight w:val="none"/>
          <w:lang w:val="zh-CN" w:eastAsia="zh-CN"/>
        </w:rPr>
        <w:t>开支内容包括</w:t>
      </w:r>
      <w:r>
        <w:rPr>
          <w:rFonts w:hint="eastAsia" w:ascii="仿宋_GB2312" w:eastAsia="仿宋_GB2312"/>
          <w:color w:val="auto"/>
          <w:sz w:val="32"/>
          <w:szCs w:val="32"/>
          <w:highlight w:val="none"/>
          <w:lang w:val="en-US" w:eastAsia="zh-CN"/>
        </w:rPr>
        <w:t>2024年我单位无</w:t>
      </w:r>
      <w:r>
        <w:rPr>
          <w:rFonts w:hint="eastAsia" w:ascii="仿宋_GB2312" w:eastAsia="仿宋_GB2312"/>
          <w:color w:val="auto"/>
          <w:sz w:val="32"/>
          <w:szCs w:val="32"/>
          <w:highlight w:val="none"/>
          <w:lang w:val="zh-CN" w:eastAsia="zh-CN"/>
        </w:rPr>
        <w:t>因公出国（境）费支出</w:t>
      </w:r>
      <w:r>
        <w:rPr>
          <w:rFonts w:ascii="仿宋_GB2312" w:eastAsia="仿宋_GB2312"/>
          <w:b w:val="0"/>
          <w:color w:val="auto"/>
          <w:sz w:val="32"/>
          <w:szCs w:val="32"/>
        </w:rPr>
        <w:t>。单位全年安排的因公出国（境）团组0个，因公出国（境）0人次。</w:t>
      </w:r>
    </w:p>
    <w:p w14:paraId="48F1936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公务用车购置及运行维护费127.27万元，其中：公务用车购置费0.00万元，公务用车运行维护费127.272024年度财政拨款“三公”经费支出128.70万元，比上年增加18.57万元，增长16.86%，主要原因是：</w:t>
      </w:r>
      <w:r>
        <w:rPr>
          <w:rFonts w:hint="eastAsia" w:ascii="仿宋_GB2312" w:eastAsia="仿宋_GB2312"/>
          <w:b w:val="0"/>
          <w:color w:val="auto"/>
          <w:sz w:val="32"/>
          <w:szCs w:val="32"/>
          <w:lang w:val="en-US" w:eastAsia="zh-CN"/>
        </w:rPr>
        <w:t>新任职领导，配置公务用车</w:t>
      </w:r>
      <w:r>
        <w:rPr>
          <w:rFonts w:hint="eastAsia" w:ascii="仿宋_GB2312" w:eastAsia="仿宋_GB2312"/>
          <w:b w:val="0"/>
          <w:color w:val="auto"/>
          <w:sz w:val="32"/>
          <w:szCs w:val="32"/>
          <w:lang w:eastAsia="zh-CN"/>
        </w:rPr>
        <w:t>，运行维护费增加</w:t>
      </w:r>
      <w:r>
        <w:rPr>
          <w:rFonts w:ascii="仿宋_GB2312" w:eastAsia="仿宋_GB2312"/>
          <w:b w:val="0"/>
          <w:color w:val="auto"/>
          <w:sz w:val="32"/>
          <w:szCs w:val="32"/>
        </w:rPr>
        <w:t>。其中：因公出国（境）费支出0.00万元,占0.00%，与上年相比无变化，主要原因是：</w:t>
      </w:r>
      <w:r>
        <w:rPr>
          <w:rFonts w:hint="eastAsia" w:ascii="仿宋_GB2312" w:eastAsia="仿宋_GB2312"/>
          <w:color w:val="auto"/>
          <w:sz w:val="32"/>
          <w:szCs w:val="32"/>
          <w:highlight w:val="none"/>
        </w:rPr>
        <w:t>无此项业务发生</w:t>
      </w:r>
      <w:r>
        <w:rPr>
          <w:rFonts w:ascii="仿宋_GB2312" w:eastAsia="仿宋_GB2312"/>
          <w:b w:val="0"/>
          <w:color w:val="auto"/>
          <w:sz w:val="32"/>
          <w:szCs w:val="32"/>
        </w:rPr>
        <w:t>；公务用车购置及运行维护费支出127.27万元，占98.89%，比上年增加19.94万元，增长18.58%，主要原因是：</w:t>
      </w:r>
      <w:r>
        <w:rPr>
          <w:rFonts w:hint="eastAsia" w:ascii="仿宋_GB2312" w:eastAsia="仿宋_GB2312"/>
          <w:b w:val="0"/>
          <w:color w:val="auto"/>
          <w:sz w:val="32"/>
          <w:szCs w:val="32"/>
          <w:lang w:val="en-US" w:eastAsia="zh-CN"/>
        </w:rPr>
        <w:t>新任职领导，配置公务用车</w:t>
      </w:r>
      <w:r>
        <w:rPr>
          <w:rFonts w:hint="eastAsia" w:ascii="仿宋_GB2312" w:eastAsia="仿宋_GB2312"/>
          <w:b w:val="0"/>
          <w:color w:val="auto"/>
          <w:sz w:val="32"/>
          <w:szCs w:val="32"/>
          <w:lang w:eastAsia="zh-CN"/>
        </w:rPr>
        <w:t>，运行维护费增加</w:t>
      </w:r>
      <w:r>
        <w:rPr>
          <w:rFonts w:ascii="仿宋_GB2312" w:eastAsia="仿宋_GB2312"/>
          <w:b w:val="0"/>
          <w:color w:val="auto"/>
          <w:sz w:val="32"/>
          <w:szCs w:val="32"/>
        </w:rPr>
        <w:t>；公务接待费支出1.44万元，占1.12%，比上年减少1.36万元，下降48.57%，主要原因是：</w:t>
      </w:r>
      <w:r>
        <w:rPr>
          <w:rFonts w:hint="eastAsia" w:ascii="仿宋_GB2312" w:eastAsia="仿宋_GB2312"/>
          <w:b w:val="0"/>
          <w:color w:val="auto"/>
          <w:sz w:val="32"/>
          <w:szCs w:val="32"/>
          <w:lang w:eastAsia="zh-CN"/>
        </w:rPr>
        <w:t>按要求严格控制公务接待支出</w:t>
      </w:r>
      <w:r>
        <w:rPr>
          <w:rFonts w:ascii="仿宋_GB2312" w:eastAsia="仿宋_GB2312"/>
          <w:b w:val="0"/>
          <w:color w:val="auto"/>
          <w:sz w:val="32"/>
          <w:szCs w:val="32"/>
        </w:rPr>
        <w:t>。</w:t>
      </w:r>
    </w:p>
    <w:p w14:paraId="5AF6EDE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公务用车运行维护费开支内容包括</w:t>
      </w:r>
      <w:r>
        <w:rPr>
          <w:rFonts w:hint="eastAsia" w:ascii="仿宋_GB2312" w:eastAsia="仿宋_GB2312" w:cs="Times New Roman"/>
          <w:color w:val="auto"/>
          <w:sz w:val="32"/>
          <w:szCs w:val="32"/>
        </w:rPr>
        <w:t>公务用车油料</w:t>
      </w:r>
      <w:r>
        <w:rPr>
          <w:rFonts w:ascii="仿宋_GB2312" w:eastAsia="仿宋_GB2312"/>
          <w:b w:val="0"/>
          <w:color w:val="auto"/>
          <w:sz w:val="32"/>
          <w:szCs w:val="32"/>
        </w:rPr>
        <w:t>94</w:t>
      </w:r>
      <w:r>
        <w:rPr>
          <w:rFonts w:hint="eastAsia" w:ascii="仿宋_GB2312" w:eastAsia="仿宋_GB2312" w:cs="Times New Roman"/>
          <w:color w:val="auto"/>
          <w:sz w:val="32"/>
          <w:szCs w:val="32"/>
        </w:rPr>
        <w:t>款、维修费、保险费</w:t>
      </w:r>
      <w:r>
        <w:rPr>
          <w:rFonts w:hint="eastAsia" w:ascii="仿宋_GB2312" w:eastAsia="仿宋_GB2312" w:cs="Times New Roman"/>
          <w:color w:val="auto"/>
          <w:sz w:val="32"/>
          <w:szCs w:val="32"/>
          <w:lang w:eastAsia="zh-CN"/>
        </w:rPr>
        <w:t>及停车费支出</w:t>
      </w:r>
      <w:r>
        <w:rPr>
          <w:rFonts w:ascii="仿宋_GB2312" w:eastAsia="仿宋_GB2312"/>
          <w:b w:val="0"/>
          <w:color w:val="auto"/>
          <w:sz w:val="32"/>
          <w:szCs w:val="32"/>
        </w:rPr>
        <w:t>。公务用车购置数0辆，公务用车保有量124辆。国有资产占用情况中固定资产车辆3辆，与公务用车保有量差异原因是：</w:t>
      </w:r>
      <w:r>
        <w:rPr>
          <w:rFonts w:hint="eastAsia" w:ascii="仿宋_GB2312" w:eastAsia="仿宋_GB2312"/>
          <w:color w:val="auto"/>
          <w:sz w:val="32"/>
          <w:szCs w:val="32"/>
          <w:highlight w:val="none"/>
          <w:lang w:val="zh-CN" w:eastAsia="zh-CN"/>
        </w:rPr>
        <w:t>机关事务管理中心为管委会（区政府）办公室下属事业单位，管委会（区政府）办公室的公务用车在机关事务管理中心统一管理</w:t>
      </w:r>
      <w:r>
        <w:rPr>
          <w:rFonts w:ascii="仿宋_GB2312" w:eastAsia="仿宋_GB2312"/>
          <w:b w:val="0"/>
          <w:color w:val="auto"/>
          <w:sz w:val="32"/>
          <w:szCs w:val="32"/>
        </w:rPr>
        <w:t>。</w:t>
      </w:r>
    </w:p>
    <w:p w14:paraId="45384A5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公务接待费1.44万元，开支内容包括</w:t>
      </w:r>
      <w:r>
        <w:rPr>
          <w:rFonts w:hint="eastAsia" w:ascii="仿宋_GB2312" w:eastAsia="仿宋_GB2312" w:cs="Times New Roman"/>
          <w:color w:val="auto"/>
          <w:sz w:val="32"/>
          <w:szCs w:val="32"/>
        </w:rPr>
        <w:t>考察、调研、参观、观摩等接待费</w:t>
      </w:r>
      <w:r>
        <w:rPr>
          <w:rFonts w:ascii="仿宋_GB2312" w:eastAsia="仿宋_GB2312"/>
          <w:b w:val="0"/>
          <w:color w:val="auto"/>
          <w:sz w:val="32"/>
          <w:szCs w:val="32"/>
        </w:rPr>
        <w:t>。单位全年安排的国内公务接待25批次，300人次。</w:t>
      </w:r>
    </w:p>
    <w:p w14:paraId="4CBD376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与全年预算相比，财政拨款“三公”经费支出全年预算数128.70万元，决算数128.70万元，预决算差异率0.00%，主要原因是：</w:t>
      </w:r>
      <w:r>
        <w:rPr>
          <w:rFonts w:hint="eastAsia" w:ascii="仿宋_GB2312" w:eastAsia="仿宋_GB2312"/>
          <w:color w:val="auto"/>
          <w:sz w:val="32"/>
          <w:szCs w:val="32"/>
          <w:highlight w:val="none"/>
          <w:lang w:val="zh-CN" w:eastAsia="zh-CN"/>
        </w:rPr>
        <w:t>严格按照预算执行</w:t>
      </w:r>
      <w:r>
        <w:rPr>
          <w:rFonts w:ascii="仿宋_GB2312" w:eastAsia="仿宋_GB2312"/>
          <w:b w:val="0"/>
          <w:color w:val="auto"/>
          <w:sz w:val="32"/>
          <w:szCs w:val="32"/>
        </w:rPr>
        <w:t>。其中：因公出国（境）费全年预算数0.00万元，决算数0.00万元，预决算差异率0.00%，主要原因是：</w:t>
      </w:r>
      <w:r>
        <w:rPr>
          <w:rFonts w:hint="eastAsia" w:ascii="仿宋_GB2312" w:hAnsi="宋体" w:eastAsia="仿宋_GB2312" w:cs="宋体"/>
          <w:color w:val="auto"/>
          <w:kern w:val="0"/>
          <w:sz w:val="32"/>
          <w:szCs w:val="32"/>
          <w:highlight w:val="none"/>
          <w:lang w:val="en-US" w:eastAsia="zh-CN"/>
        </w:rPr>
        <w:t>2023年与2024年</w:t>
      </w:r>
      <w:r>
        <w:rPr>
          <w:rFonts w:hint="eastAsia" w:ascii="仿宋_GB2312" w:hAnsi="宋体" w:eastAsia="仿宋_GB2312" w:cs="宋体"/>
          <w:color w:val="auto"/>
          <w:kern w:val="0"/>
          <w:sz w:val="32"/>
          <w:szCs w:val="32"/>
          <w:highlight w:val="none"/>
          <w:lang w:eastAsia="zh-CN"/>
        </w:rPr>
        <w:t>均未安排</w:t>
      </w:r>
      <w:r>
        <w:rPr>
          <w:rFonts w:hint="eastAsia" w:ascii="仿宋_GB2312" w:hAnsi="宋体" w:eastAsia="仿宋_GB2312" w:cs="宋体"/>
          <w:b w:val="0"/>
          <w:bCs w:val="0"/>
          <w:color w:val="auto"/>
          <w:spacing w:val="0"/>
          <w:kern w:val="0"/>
          <w:sz w:val="32"/>
          <w:szCs w:val="32"/>
          <w:highlight w:val="none"/>
          <w:lang w:val="en-US" w:eastAsia="zh-CN"/>
        </w:rPr>
        <w:t>此项预算</w:t>
      </w:r>
      <w:r>
        <w:rPr>
          <w:rFonts w:ascii="仿宋_GB2312" w:eastAsia="仿宋_GB2312"/>
          <w:b w:val="0"/>
          <w:color w:val="auto"/>
          <w:sz w:val="32"/>
          <w:szCs w:val="32"/>
        </w:rPr>
        <w:t>；公务用车购置费全年预算数0.00万元，决算数0.00万元，预决算差异率0.00%，主要原因是：</w:t>
      </w:r>
      <w:r>
        <w:rPr>
          <w:rFonts w:hint="eastAsia" w:ascii="仿宋_GB2312" w:hAnsi="宋体" w:eastAsia="仿宋_GB2312" w:cs="宋体"/>
          <w:color w:val="auto"/>
          <w:kern w:val="0"/>
          <w:sz w:val="32"/>
          <w:szCs w:val="32"/>
          <w:highlight w:val="none"/>
          <w:lang w:val="en-US" w:eastAsia="zh-CN"/>
        </w:rPr>
        <w:t>2023年与2024年</w:t>
      </w:r>
      <w:r>
        <w:rPr>
          <w:rFonts w:hint="eastAsia" w:ascii="仿宋_GB2312" w:hAnsi="宋体" w:eastAsia="仿宋_GB2312" w:cs="宋体"/>
          <w:color w:val="auto"/>
          <w:kern w:val="0"/>
          <w:sz w:val="32"/>
          <w:szCs w:val="32"/>
          <w:highlight w:val="none"/>
          <w:lang w:eastAsia="zh-CN"/>
        </w:rPr>
        <w:t>均未安排</w:t>
      </w:r>
      <w:r>
        <w:rPr>
          <w:rFonts w:hint="eastAsia" w:ascii="仿宋_GB2312" w:hAnsi="宋体" w:eastAsia="仿宋_GB2312" w:cs="宋体"/>
          <w:b w:val="0"/>
          <w:bCs w:val="0"/>
          <w:color w:val="auto"/>
          <w:spacing w:val="0"/>
          <w:kern w:val="0"/>
          <w:sz w:val="32"/>
          <w:szCs w:val="32"/>
          <w:highlight w:val="none"/>
          <w:lang w:val="en-US" w:eastAsia="zh-CN"/>
        </w:rPr>
        <w:t>此项预算</w:t>
      </w:r>
      <w:r>
        <w:rPr>
          <w:rFonts w:ascii="仿宋_GB2312" w:eastAsia="仿宋_GB2312"/>
          <w:b w:val="0"/>
          <w:color w:val="auto"/>
          <w:sz w:val="32"/>
          <w:szCs w:val="32"/>
        </w:rPr>
        <w:t>；公务用车运行维护费全年预算数127.27万元，决算数127.27万元，预决算差异率0.00%，主要原因是：</w:t>
      </w:r>
      <w:r>
        <w:rPr>
          <w:rFonts w:hint="eastAsia" w:ascii="仿宋_GB2312" w:eastAsia="仿宋_GB2312"/>
          <w:color w:val="auto"/>
          <w:sz w:val="32"/>
          <w:szCs w:val="32"/>
          <w:highlight w:val="none"/>
          <w:lang w:val="zh-CN" w:eastAsia="zh-CN"/>
        </w:rPr>
        <w:t>严格按照预算执行</w:t>
      </w:r>
      <w:r>
        <w:rPr>
          <w:rFonts w:ascii="仿宋_GB2312" w:eastAsia="仿宋_GB2312"/>
          <w:b w:val="0"/>
          <w:color w:val="auto"/>
          <w:sz w:val="32"/>
          <w:szCs w:val="32"/>
        </w:rPr>
        <w:t>；公务接待费全年预算数1.44万元，决算数1.44万元，预决算差异率0.00%，主要原因是：</w:t>
      </w:r>
      <w:r>
        <w:rPr>
          <w:rFonts w:hint="eastAsia" w:ascii="仿宋_GB2312" w:eastAsia="仿宋_GB2312"/>
          <w:color w:val="auto"/>
          <w:sz w:val="32"/>
          <w:szCs w:val="32"/>
          <w:highlight w:val="none"/>
          <w:lang w:val="zh-CN" w:eastAsia="zh-CN"/>
        </w:rPr>
        <w:t>严格按照预算执行</w:t>
      </w:r>
      <w:r>
        <w:rPr>
          <w:rFonts w:ascii="仿宋_GB2312" w:eastAsia="仿宋_GB2312"/>
          <w:b w:val="0"/>
          <w:color w:val="auto"/>
          <w:sz w:val="32"/>
          <w:szCs w:val="32"/>
        </w:rPr>
        <w:t>。</w:t>
      </w:r>
    </w:p>
    <w:p w14:paraId="5E081EE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十、其他重要事项的情况说明</w:t>
      </w:r>
    </w:p>
    <w:p w14:paraId="4142A72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color w:val="auto"/>
          <w:sz w:val="32"/>
          <w:szCs w:val="32"/>
        </w:rPr>
      </w:pPr>
      <w:r>
        <w:rPr>
          <w:rFonts w:ascii="黑体" w:eastAsia="黑体"/>
          <w:b w:val="0"/>
          <w:color w:val="auto"/>
          <w:sz w:val="32"/>
          <w:szCs w:val="32"/>
        </w:rPr>
        <w:t>（一）机关运行经费及公用经费支出情况</w:t>
      </w:r>
    </w:p>
    <w:p w14:paraId="163090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2024年度乌鲁木齐经济技术开发区（乌鲁木齐市头屯河区）机关事务管理中心单位（事业单位）公用经费支出1,112.84万元，比上年增加772.28万元，增长226.77%，主要原因是：</w:t>
      </w:r>
      <w:r>
        <w:rPr>
          <w:rFonts w:hint="eastAsia" w:ascii="仿宋_GB2312" w:eastAsia="仿宋_GB2312"/>
          <w:b w:val="0"/>
          <w:color w:val="auto"/>
          <w:sz w:val="32"/>
          <w:szCs w:val="32"/>
          <w:lang w:val="en-US" w:eastAsia="zh-CN"/>
        </w:rPr>
        <w:t>2024年支付以前年度暖气费、电费等费用</w:t>
      </w:r>
      <w:r>
        <w:rPr>
          <w:rFonts w:ascii="仿宋_GB2312" w:eastAsia="仿宋_GB2312"/>
          <w:b w:val="0"/>
          <w:color w:val="auto"/>
          <w:sz w:val="32"/>
          <w:szCs w:val="32"/>
        </w:rPr>
        <w:t>。</w:t>
      </w:r>
    </w:p>
    <w:p w14:paraId="483D0C1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color w:val="auto"/>
          <w:sz w:val="32"/>
          <w:szCs w:val="32"/>
        </w:rPr>
      </w:pPr>
      <w:r>
        <w:rPr>
          <w:rFonts w:ascii="黑体" w:eastAsia="黑体"/>
          <w:b w:val="0"/>
          <w:color w:val="auto"/>
          <w:sz w:val="32"/>
          <w:szCs w:val="32"/>
        </w:rPr>
        <w:t>（二）政府采购情况</w:t>
      </w:r>
    </w:p>
    <w:p w14:paraId="1C72EAB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2024年度政府采购支出总额6,505.73万元，其中：政府采购货物支出0.00万元、政府采购工程支出0.00万元、政府采购服务支出6,505.73万元。</w:t>
      </w:r>
    </w:p>
    <w:p w14:paraId="3B2205E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授予中小企业合同金额6,480.94万元，占政府采购支出总额的99.62%，其中：授予小微企业合同金额6.67万元，占政府采购支出总额的0.10%。</w:t>
      </w:r>
    </w:p>
    <w:p w14:paraId="095198D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color w:val="auto"/>
          <w:sz w:val="32"/>
          <w:szCs w:val="32"/>
        </w:rPr>
      </w:pPr>
      <w:r>
        <w:rPr>
          <w:rFonts w:ascii="黑体" w:eastAsia="黑体"/>
          <w:b w:val="0"/>
          <w:color w:val="auto"/>
          <w:sz w:val="32"/>
          <w:szCs w:val="32"/>
        </w:rPr>
        <w:t>（三）国有资产占用情况说明</w:t>
      </w:r>
    </w:p>
    <w:p w14:paraId="3EC5002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截至2024年12月31日，房屋0.00平方米，价值0.00万元。车辆3辆，价值140.36万元，其中：副部（省）级及以上领导用车0辆、主要负责人用车0辆、机要通信用车0辆、应急保障用车0辆、执法执勤用车0辆、特种专业技术用车0辆、离退休干部服务用车0辆、其他用车3辆，其他用车主要是：</w:t>
      </w:r>
      <w:r>
        <w:rPr>
          <w:rFonts w:hint="eastAsia" w:ascii="仿宋_GB2312" w:eastAsia="仿宋_GB2312" w:cs="Times New Roman"/>
          <w:color w:val="auto"/>
          <w:sz w:val="32"/>
          <w:szCs w:val="32"/>
        </w:rPr>
        <w:t>公务用车</w:t>
      </w:r>
      <w:r>
        <w:rPr>
          <w:rFonts w:ascii="仿宋_GB2312" w:eastAsia="仿宋_GB2312"/>
          <w:b w:val="0"/>
          <w:color w:val="auto"/>
          <w:sz w:val="32"/>
          <w:szCs w:val="32"/>
        </w:rPr>
        <w:t>;单价100万元（含）以上设备（不含车辆）0台（套）。</w:t>
      </w:r>
    </w:p>
    <w:p w14:paraId="28360A1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十一、预算绩效的情况说明</w:t>
      </w:r>
    </w:p>
    <w:p w14:paraId="6F74525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color w:val="auto"/>
          <w:sz w:val="32"/>
          <w:szCs w:val="32"/>
        </w:rPr>
      </w:pPr>
      <w:r>
        <w:rPr>
          <w:rFonts w:ascii="仿宋_GB2312" w:eastAsia="仿宋_GB2312"/>
          <w:b w:val="0"/>
          <w:color w:val="auto"/>
          <w:sz w:val="32"/>
          <w:szCs w:val="32"/>
        </w:rPr>
        <w:t>根据预算绩效管理要求，本单位2024年度预算绩效管理形成整体支出绩效自评表1</w:t>
      </w:r>
      <w:r>
        <w:rPr>
          <w:rFonts w:ascii="仿宋_GB2312" w:eastAsia="仿宋_GB2312"/>
          <w:b w:val="0"/>
          <w:color w:val="auto"/>
          <w:sz w:val="32"/>
          <w:szCs w:val="32"/>
          <w:highlight w:val="none"/>
        </w:rPr>
        <w:t>个，全年预算总额</w:t>
      </w:r>
      <w:r>
        <w:rPr>
          <w:rFonts w:hint="eastAsia" w:ascii="仿宋_GB2312" w:eastAsia="仿宋_GB2312"/>
          <w:b w:val="0"/>
          <w:color w:val="auto"/>
          <w:sz w:val="32"/>
          <w:szCs w:val="32"/>
          <w:highlight w:val="none"/>
          <w:lang w:val="en-US" w:eastAsia="zh-CN"/>
        </w:rPr>
        <w:t>2320.23</w:t>
      </w:r>
      <w:r>
        <w:rPr>
          <w:rFonts w:ascii="仿宋_GB2312" w:eastAsia="仿宋_GB2312"/>
          <w:b w:val="0"/>
          <w:color w:val="auto"/>
          <w:sz w:val="32"/>
          <w:szCs w:val="32"/>
          <w:highlight w:val="none"/>
        </w:rPr>
        <w:t>万元，实际执行总额</w:t>
      </w:r>
      <w:r>
        <w:rPr>
          <w:rFonts w:hint="eastAsia" w:ascii="仿宋_GB2312" w:eastAsia="仿宋_GB2312"/>
          <w:b w:val="0"/>
          <w:color w:val="auto"/>
          <w:sz w:val="32"/>
          <w:szCs w:val="32"/>
          <w:highlight w:val="none"/>
          <w:lang w:val="en-US" w:eastAsia="zh-CN"/>
        </w:rPr>
        <w:t>2320.23</w:t>
      </w:r>
      <w:r>
        <w:rPr>
          <w:rFonts w:ascii="仿宋_GB2312" w:eastAsia="仿宋_GB2312"/>
          <w:b w:val="0"/>
          <w:color w:val="auto"/>
          <w:sz w:val="32"/>
          <w:szCs w:val="32"/>
          <w:highlight w:val="none"/>
        </w:rPr>
        <w:t>万元；预算绩效评价项目</w:t>
      </w:r>
      <w:r>
        <w:rPr>
          <w:rFonts w:hint="eastAsia" w:ascii="仿宋_GB2312" w:eastAsia="仿宋_GB2312"/>
          <w:b w:val="0"/>
          <w:color w:val="auto"/>
          <w:sz w:val="32"/>
          <w:szCs w:val="32"/>
          <w:highlight w:val="none"/>
          <w:lang w:val="en-US" w:eastAsia="zh-CN"/>
        </w:rPr>
        <w:t>3</w:t>
      </w:r>
      <w:r>
        <w:rPr>
          <w:rFonts w:ascii="仿宋_GB2312" w:eastAsia="仿宋_GB2312"/>
          <w:b w:val="0"/>
          <w:color w:val="auto"/>
          <w:sz w:val="32"/>
          <w:szCs w:val="32"/>
          <w:highlight w:val="none"/>
        </w:rPr>
        <w:t>个，全年预算数</w:t>
      </w:r>
      <w:r>
        <w:rPr>
          <w:rFonts w:hint="eastAsia" w:ascii="仿宋_GB2312" w:eastAsia="仿宋_GB2312"/>
          <w:b w:val="0"/>
          <w:color w:val="auto"/>
          <w:sz w:val="32"/>
          <w:szCs w:val="32"/>
          <w:highlight w:val="none"/>
          <w:lang w:val="en-US" w:eastAsia="zh-CN"/>
        </w:rPr>
        <w:t>2320.23</w:t>
      </w:r>
      <w:r>
        <w:rPr>
          <w:rFonts w:ascii="仿宋_GB2312" w:eastAsia="仿宋_GB2312"/>
          <w:b w:val="0"/>
          <w:color w:val="auto"/>
          <w:sz w:val="32"/>
          <w:szCs w:val="32"/>
          <w:highlight w:val="none"/>
        </w:rPr>
        <w:t>万元，全年执行数</w:t>
      </w:r>
      <w:r>
        <w:rPr>
          <w:rFonts w:hint="eastAsia" w:ascii="仿宋_GB2312" w:eastAsia="仿宋_GB2312"/>
          <w:b w:val="0"/>
          <w:color w:val="auto"/>
          <w:sz w:val="32"/>
          <w:szCs w:val="32"/>
          <w:highlight w:val="none"/>
          <w:lang w:val="en-US" w:eastAsia="zh-CN"/>
        </w:rPr>
        <w:t>2320.23</w:t>
      </w:r>
      <w:r>
        <w:rPr>
          <w:rFonts w:ascii="仿宋_GB2312" w:eastAsia="仿宋_GB2312"/>
          <w:b w:val="0"/>
          <w:color w:val="auto"/>
          <w:sz w:val="32"/>
          <w:szCs w:val="32"/>
          <w:highlight w:val="none"/>
        </w:rPr>
        <w:t>万元。预</w:t>
      </w:r>
      <w:r>
        <w:rPr>
          <w:rFonts w:ascii="仿宋_GB2312" w:eastAsia="仿宋_GB2312"/>
          <w:b w:val="0"/>
          <w:color w:val="auto"/>
          <w:sz w:val="32"/>
          <w:szCs w:val="32"/>
        </w:rPr>
        <w:t>算绩效管理取得的成效：</w:t>
      </w:r>
      <w:r>
        <w:rPr>
          <w:rFonts w:ascii="仿宋_GB2312" w:eastAsia="仿宋_GB2312"/>
          <w:color w:val="auto"/>
          <w:sz w:val="32"/>
          <w:szCs w:val="32"/>
        </w:rPr>
        <w:t>一是确保干部职工的正常出行；二是保障了</w:t>
      </w:r>
      <w:r>
        <w:rPr>
          <w:rFonts w:hint="eastAsia" w:ascii="仿宋_GB2312" w:eastAsia="仿宋_GB2312"/>
          <w:color w:val="auto"/>
          <w:sz w:val="32"/>
          <w:szCs w:val="32"/>
          <w:lang w:eastAsia="zh-CN"/>
        </w:rPr>
        <w:t>干部职工正常就餐</w:t>
      </w:r>
      <w:r>
        <w:rPr>
          <w:rFonts w:ascii="仿宋_GB2312" w:eastAsia="仿宋_GB2312"/>
          <w:b w:val="0"/>
          <w:color w:val="auto"/>
          <w:sz w:val="32"/>
          <w:szCs w:val="32"/>
        </w:rPr>
        <w:t>。发现的问题及原因：</w:t>
      </w:r>
      <w:r>
        <w:rPr>
          <w:rFonts w:ascii="仿宋_GB2312" w:eastAsia="仿宋_GB2312"/>
          <w:color w:val="auto"/>
          <w:sz w:val="32"/>
          <w:szCs w:val="32"/>
        </w:rPr>
        <w:t>一是公务用车租赁费用未能及时支付；二是公务用车的管理仍需加强</w:t>
      </w:r>
      <w:r>
        <w:rPr>
          <w:rFonts w:ascii="仿宋_GB2312" w:eastAsia="仿宋_GB2312"/>
          <w:b w:val="0"/>
          <w:color w:val="auto"/>
          <w:sz w:val="32"/>
          <w:szCs w:val="32"/>
        </w:rPr>
        <w:t>。下一步改进措施：</w:t>
      </w:r>
      <w:r>
        <w:rPr>
          <w:rFonts w:hint="eastAsia" w:ascii="仿宋_GB2312" w:eastAsia="仿宋_GB2312"/>
          <w:color w:val="auto"/>
          <w:sz w:val="32"/>
          <w:szCs w:val="32"/>
          <w:highlight w:val="none"/>
          <w:lang w:eastAsia="zh-CN"/>
        </w:rPr>
        <w:t>一</w:t>
      </w:r>
      <w:r>
        <w:rPr>
          <w:rFonts w:ascii="仿宋_GB2312" w:eastAsia="仿宋_GB2312"/>
          <w:color w:val="auto"/>
          <w:sz w:val="32"/>
          <w:szCs w:val="32"/>
        </w:rPr>
        <w:t>是加强项目资金用前评估及审批工作，准确估算项目使用资金，严格遵守项目资金审批程序；二是继续加强公务用车维修、保险、</w:t>
      </w:r>
      <w:r>
        <w:rPr>
          <w:rFonts w:hint="eastAsia" w:ascii="仿宋_GB2312" w:eastAsia="仿宋_GB2312"/>
          <w:color w:val="auto"/>
          <w:sz w:val="32"/>
          <w:szCs w:val="32"/>
          <w:lang w:eastAsia="zh-CN"/>
        </w:rPr>
        <w:t>公务车</w:t>
      </w:r>
      <w:r>
        <w:rPr>
          <w:rFonts w:ascii="仿宋_GB2312" w:eastAsia="仿宋_GB2312"/>
          <w:color w:val="auto"/>
          <w:sz w:val="32"/>
          <w:szCs w:val="32"/>
        </w:rPr>
        <w:t>租赁</w:t>
      </w:r>
      <w:r>
        <w:rPr>
          <w:rFonts w:hint="eastAsia" w:ascii="仿宋_GB2312" w:eastAsia="仿宋_GB2312"/>
          <w:color w:val="auto"/>
          <w:sz w:val="32"/>
          <w:szCs w:val="32"/>
          <w:lang w:eastAsia="zh-CN"/>
        </w:rPr>
        <w:t>等</w:t>
      </w:r>
      <w:r>
        <w:rPr>
          <w:rFonts w:ascii="仿宋_GB2312" w:eastAsia="仿宋_GB2312"/>
          <w:color w:val="auto"/>
          <w:sz w:val="32"/>
          <w:szCs w:val="32"/>
        </w:rPr>
        <w:t>监督管理工作</w:t>
      </w:r>
      <w:r>
        <w:rPr>
          <w:rFonts w:ascii="仿宋_GB2312" w:eastAsia="仿宋_GB2312"/>
          <w:b w:val="0"/>
          <w:color w:val="auto"/>
          <w:sz w:val="32"/>
          <w:szCs w:val="32"/>
        </w:rPr>
        <w:t>。具体附部门整体支出绩效自评表，项目支出绩效自评表和部门评价报告。</w:t>
      </w:r>
    </w:p>
    <w:p w14:paraId="0750333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color w:val="auto"/>
          <w:sz w:val="32"/>
          <w:szCs w:val="32"/>
        </w:rPr>
      </w:pPr>
    </w:p>
    <w:tbl>
      <w:tblPr>
        <w:tblStyle w:val="3"/>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4"/>
        <w:gridCol w:w="836"/>
        <w:gridCol w:w="841"/>
        <w:gridCol w:w="1043"/>
        <w:gridCol w:w="1246"/>
        <w:gridCol w:w="437"/>
        <w:gridCol w:w="1647"/>
        <w:gridCol w:w="738"/>
        <w:gridCol w:w="939"/>
        <w:gridCol w:w="36"/>
        <w:gridCol w:w="36"/>
        <w:gridCol w:w="37"/>
      </w:tblGrid>
      <w:tr w14:paraId="09035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3" w:hRule="atLeast"/>
        </w:trPr>
        <w:tc>
          <w:tcPr>
            <w:tcW w:w="8561" w:type="dxa"/>
            <w:gridSpan w:val="9"/>
            <w:tcBorders>
              <w:top w:val="nil"/>
              <w:left w:val="nil"/>
              <w:bottom w:val="nil"/>
              <w:right w:val="nil"/>
            </w:tcBorders>
            <w:shd w:val="clear" w:color="auto" w:fill="auto"/>
            <w:noWrap/>
            <w:tcMar>
              <w:top w:w="15" w:type="dxa"/>
              <w:left w:w="15" w:type="dxa"/>
              <w:right w:w="15" w:type="dxa"/>
            </w:tcMar>
            <w:vAlign w:val="center"/>
          </w:tcPr>
          <w:p w14:paraId="66607C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kern w:val="0"/>
                <w:sz w:val="32"/>
                <w:szCs w:val="32"/>
                <w:u w:val="none"/>
                <w:lang w:val="en-US" w:eastAsia="zh-CN" w:bidi="ar"/>
              </w:rPr>
              <w:t>单位</w:t>
            </w:r>
            <w:bookmarkStart w:id="1" w:name="_GoBack"/>
            <w:bookmarkEnd w:id="1"/>
            <w:r>
              <w:rPr>
                <w:rFonts w:hint="eastAsia" w:ascii="宋体" w:hAnsi="宋体" w:eastAsia="宋体" w:cs="宋体"/>
                <w:b/>
                <w:i w:val="0"/>
                <w:color w:val="auto"/>
                <w:kern w:val="0"/>
                <w:sz w:val="32"/>
                <w:szCs w:val="32"/>
                <w:u w:val="none"/>
                <w:lang w:val="en-US" w:eastAsia="zh-CN" w:bidi="ar"/>
              </w:rPr>
              <w:t>整体支出绩效目标自评表</w:t>
            </w:r>
          </w:p>
        </w:tc>
        <w:tc>
          <w:tcPr>
            <w:tcW w:w="36" w:type="dxa"/>
            <w:tcBorders>
              <w:top w:val="nil"/>
              <w:left w:val="nil"/>
              <w:bottom w:val="nil"/>
              <w:right w:val="nil"/>
            </w:tcBorders>
            <w:shd w:val="clear" w:color="auto" w:fill="auto"/>
            <w:noWrap/>
            <w:tcMar>
              <w:top w:w="15" w:type="dxa"/>
              <w:left w:w="15" w:type="dxa"/>
              <w:right w:w="15" w:type="dxa"/>
            </w:tcMar>
            <w:vAlign w:val="center"/>
          </w:tcPr>
          <w:p w14:paraId="2646D8E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b/>
                <w:i w:val="0"/>
                <w:color w:val="auto"/>
                <w:sz w:val="32"/>
                <w:szCs w:val="32"/>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766B00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445ACC3A">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128C7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561" w:type="dxa"/>
            <w:gridSpan w:val="9"/>
            <w:tcBorders>
              <w:top w:val="nil"/>
              <w:left w:val="nil"/>
              <w:bottom w:val="nil"/>
              <w:right w:val="nil"/>
            </w:tcBorders>
            <w:shd w:val="clear" w:color="auto" w:fill="auto"/>
            <w:noWrap/>
            <w:tcMar>
              <w:top w:w="15" w:type="dxa"/>
              <w:left w:w="15" w:type="dxa"/>
              <w:right w:w="15" w:type="dxa"/>
            </w:tcMar>
            <w:vAlign w:val="center"/>
          </w:tcPr>
          <w:p w14:paraId="3121FB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8"/>
                <w:szCs w:val="28"/>
                <w:u w:val="none"/>
              </w:rPr>
            </w:pPr>
            <w:r>
              <w:rPr>
                <w:rFonts w:hint="eastAsia" w:ascii="宋体" w:hAnsi="宋体" w:eastAsia="宋体" w:cs="宋体"/>
                <w:b/>
                <w:i w:val="0"/>
                <w:color w:val="auto"/>
                <w:kern w:val="0"/>
                <w:sz w:val="28"/>
                <w:szCs w:val="28"/>
                <w:u w:val="none"/>
                <w:lang w:val="en-US" w:eastAsia="zh-CN" w:bidi="ar"/>
              </w:rPr>
              <w:t>2024</w:t>
            </w:r>
          </w:p>
        </w:tc>
        <w:tc>
          <w:tcPr>
            <w:tcW w:w="36" w:type="dxa"/>
            <w:tcBorders>
              <w:top w:val="nil"/>
              <w:left w:val="nil"/>
              <w:bottom w:val="nil"/>
              <w:right w:val="nil"/>
            </w:tcBorders>
            <w:shd w:val="clear" w:color="auto" w:fill="auto"/>
            <w:noWrap/>
            <w:tcMar>
              <w:top w:w="15" w:type="dxa"/>
              <w:left w:w="15" w:type="dxa"/>
              <w:right w:w="15" w:type="dxa"/>
            </w:tcMar>
            <w:vAlign w:val="center"/>
          </w:tcPr>
          <w:p w14:paraId="3875C47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b/>
                <w:i w:val="0"/>
                <w:color w:val="auto"/>
                <w:sz w:val="32"/>
                <w:szCs w:val="32"/>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20709A7E">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3E9132B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492B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251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22F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部门（单位）名称</w:t>
            </w:r>
          </w:p>
        </w:tc>
        <w:tc>
          <w:tcPr>
            <w:tcW w:w="6050"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1A0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乌鲁木齐经济技术开发区（乌鲁木齐市头屯河区）机关事务管理中心</w:t>
            </w:r>
          </w:p>
        </w:tc>
        <w:tc>
          <w:tcPr>
            <w:tcW w:w="36" w:type="dxa"/>
            <w:tcBorders>
              <w:top w:val="nil"/>
              <w:left w:val="nil"/>
              <w:bottom w:val="nil"/>
              <w:right w:val="nil"/>
            </w:tcBorders>
            <w:shd w:val="clear" w:color="auto" w:fill="auto"/>
            <w:noWrap/>
            <w:tcMar>
              <w:top w:w="15" w:type="dxa"/>
              <w:left w:w="15" w:type="dxa"/>
              <w:right w:w="15" w:type="dxa"/>
            </w:tcMar>
            <w:vAlign w:val="center"/>
          </w:tcPr>
          <w:p w14:paraId="784FAB66">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b/>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060AB3E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2FAECD9A">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60E18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670" w:type="dxa"/>
            <w:gridSpan w:val="2"/>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9A82C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年度预算（万元）</w:t>
            </w: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4B9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资金来源</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176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年初预算数（万元）</w:t>
            </w:r>
          </w:p>
        </w:tc>
        <w:tc>
          <w:tcPr>
            <w:tcW w:w="1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BC2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预算数（调整后）</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666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执行数</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410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执行率(%)</w:t>
            </w:r>
          </w:p>
        </w:tc>
        <w:tc>
          <w:tcPr>
            <w:tcW w:w="36" w:type="dxa"/>
            <w:tcBorders>
              <w:top w:val="nil"/>
              <w:left w:val="nil"/>
              <w:bottom w:val="nil"/>
              <w:right w:val="nil"/>
            </w:tcBorders>
            <w:shd w:val="clear" w:color="auto" w:fill="auto"/>
            <w:noWrap/>
            <w:tcMar>
              <w:top w:w="15" w:type="dxa"/>
              <w:left w:w="15" w:type="dxa"/>
              <w:right w:w="15" w:type="dxa"/>
            </w:tcMar>
            <w:vAlign w:val="center"/>
          </w:tcPr>
          <w:p w14:paraId="52308AA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000ACD8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6823C4B1">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2C56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670"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40FA59A">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03032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财政资金（万元）</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FDC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上级资金：</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8B9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w:t>
            </w:r>
          </w:p>
        </w:tc>
        <w:tc>
          <w:tcPr>
            <w:tcW w:w="1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D2E1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AEA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E0E3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1A92CC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2B3D181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78375857">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7141E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670"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D6893A2">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BB61F33">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4BF3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本级资金：</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1D4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2990.07</w:t>
            </w:r>
          </w:p>
        </w:tc>
        <w:tc>
          <w:tcPr>
            <w:tcW w:w="1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42B5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2320.23</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9992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2320.23</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38BFF">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0414BAF">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1912440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6F959D2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2B866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670"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52D639E">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0C5D83">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80D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其他资金：</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4DB6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w:t>
            </w:r>
          </w:p>
        </w:tc>
        <w:tc>
          <w:tcPr>
            <w:tcW w:w="1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19A3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C5E7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45A76">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9A5CF0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1AFC74E4">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7CB694B4">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5AFA6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670"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C6A91C4">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072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合计</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0FE56">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78C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3010.07</w:t>
            </w:r>
          </w:p>
        </w:tc>
        <w:tc>
          <w:tcPr>
            <w:tcW w:w="1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C865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2320.23</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CADC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2320.23</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93AC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36" w:type="dxa"/>
            <w:tcBorders>
              <w:top w:val="nil"/>
              <w:left w:val="nil"/>
              <w:bottom w:val="nil"/>
              <w:right w:val="nil"/>
            </w:tcBorders>
            <w:shd w:val="clear" w:color="auto" w:fill="auto"/>
            <w:noWrap/>
            <w:tcMar>
              <w:top w:w="15" w:type="dxa"/>
              <w:left w:w="15" w:type="dxa"/>
              <w:right w:w="15" w:type="dxa"/>
            </w:tcMar>
            <w:vAlign w:val="center"/>
          </w:tcPr>
          <w:p w14:paraId="2B5DCC8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64F951A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7E7C3881">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47CA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F7A0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年度总体目标</w:t>
            </w:r>
          </w:p>
        </w:tc>
        <w:tc>
          <w:tcPr>
            <w:tcW w:w="3966" w:type="dxa"/>
            <w:gridSpan w:val="4"/>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6B31C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预期目标</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D59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实际完成目标</w:t>
            </w:r>
          </w:p>
        </w:tc>
        <w:tc>
          <w:tcPr>
            <w:tcW w:w="36" w:type="dxa"/>
            <w:tcBorders>
              <w:top w:val="nil"/>
              <w:left w:val="nil"/>
              <w:bottom w:val="nil"/>
              <w:right w:val="nil"/>
            </w:tcBorders>
            <w:shd w:val="clear" w:color="auto" w:fill="auto"/>
            <w:noWrap/>
            <w:tcMar>
              <w:top w:w="15" w:type="dxa"/>
              <w:left w:w="15" w:type="dxa"/>
              <w:right w:w="15" w:type="dxa"/>
            </w:tcMar>
            <w:vAlign w:val="center"/>
          </w:tcPr>
          <w:p w14:paraId="7381420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7712AE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4687F49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5D11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80" w:hRule="atLeast"/>
        </w:trPr>
        <w:tc>
          <w:tcPr>
            <w:tcW w:w="8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24EC6C">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i w:val="0"/>
                <w:color w:val="auto"/>
                <w:sz w:val="20"/>
                <w:szCs w:val="20"/>
                <w:u w:val="none"/>
              </w:rPr>
            </w:pPr>
          </w:p>
        </w:tc>
        <w:tc>
          <w:tcPr>
            <w:tcW w:w="3966"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1978DB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落实好区委、区政府对机关事务管理工作要求。认真落实区机关办公大楼（含第二政务服务大厅）综合管理、运维保障、后勤服务和安全保卫等工作；做好区委办、政府办办公用品采购领用及安全生产工作；积极做好各类会议、活动服务保障工作；对物业、安保、餐饮服务外包工作进行监督管理，做好办公用房、公务用车日维护管理相关工作；落实全区公共机构节能减排工作。</w:t>
            </w:r>
          </w:p>
        </w:tc>
        <w:tc>
          <w:tcPr>
            <w:tcW w:w="3761"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F721A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认真落实区机关办公大楼（含二楼政务服务大厅）综合管理、运维保障、后勤服务和安全保卫等工作；细化服务外包单位管理标准，提高设施设备维修维护水平，建立每日有检查、重点有提醒、季节转换有措施的“三有”服务模式，不断提升后勤服务水平；对单位固定资产进行清查盘点，撰写清查报告，提出优化管理举措，全面提升固定资产管理水平；梳理摸排全区各单位公务用车情况，做好车辆调配工作。</w:t>
            </w:r>
          </w:p>
        </w:tc>
        <w:tc>
          <w:tcPr>
            <w:tcW w:w="36" w:type="dxa"/>
            <w:tcBorders>
              <w:top w:val="nil"/>
              <w:left w:val="nil"/>
              <w:bottom w:val="nil"/>
              <w:right w:val="nil"/>
            </w:tcBorders>
            <w:shd w:val="clear" w:color="auto" w:fill="auto"/>
            <w:noWrap/>
            <w:tcMar>
              <w:top w:w="15" w:type="dxa"/>
              <w:left w:w="15" w:type="dxa"/>
              <w:right w:w="15" w:type="dxa"/>
            </w:tcMar>
            <w:vAlign w:val="center"/>
          </w:tcPr>
          <w:p w14:paraId="1AC82B57">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048D79F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16642587">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18"/>
                <w:szCs w:val="18"/>
                <w:u w:val="none"/>
              </w:rPr>
            </w:pPr>
          </w:p>
        </w:tc>
      </w:tr>
      <w:tr w14:paraId="74BA8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8FF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一级指标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F92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DD9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E59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859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指标设定依据</w:t>
            </w:r>
          </w:p>
        </w:tc>
        <w:tc>
          <w:tcPr>
            <w:tcW w:w="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98D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权重</w:t>
            </w: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0EE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422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得分</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DED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备注</w:t>
            </w:r>
          </w:p>
        </w:tc>
        <w:tc>
          <w:tcPr>
            <w:tcW w:w="36" w:type="dxa"/>
            <w:tcBorders>
              <w:top w:val="nil"/>
              <w:left w:val="nil"/>
              <w:bottom w:val="nil"/>
              <w:right w:val="nil"/>
            </w:tcBorders>
            <w:shd w:val="clear" w:color="auto" w:fill="auto"/>
            <w:noWrap/>
            <w:tcMar>
              <w:top w:w="15" w:type="dxa"/>
              <w:left w:w="15" w:type="dxa"/>
              <w:right w:w="15" w:type="dxa"/>
            </w:tcMar>
            <w:vAlign w:val="center"/>
          </w:tcPr>
          <w:p w14:paraId="499903A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2F1327CE">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2E6ACFD7">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0FF0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60D4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运行成本</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6E014">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E876E">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AFE60">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0D94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F0A6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FCBA7">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DA5A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F28F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0D36AB8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29F044B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58C68E5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218E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6DBA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管理效率</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099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B87F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E7BE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64F8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2ECAE">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A38BF">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3061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C6850">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25C6810">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65E34018">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5900DE6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3A912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1FD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履职效能</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0487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数量指标</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E134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办公场所日常维修维护及时率</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E641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&gt;=95%</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7E37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年度工作计划</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8EBD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DA20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D47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B1A51">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76F4A1C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720BF088">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409FC1DA">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3BB52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53E1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9D09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数量指标</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7F5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开展固定资产清查梳理专项工作</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2133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&gt;=1次</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F8D6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年度工作计划</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6030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477D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=1次</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9B6C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C25C0">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3BE61F0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6CB7C11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5E4F1624">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76E0D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4A75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9CF4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E545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DE150">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7910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4FED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9392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7CA8F">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BD860">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55DE50CD">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1C70628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7B37EA0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7AEC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007D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可持续发展能力</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E0A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4179A">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8F34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385B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3DE7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2D9A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97AD4">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7B65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7333466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4839215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1E00DF6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r w14:paraId="2781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0802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8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73DF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满意度指标</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7626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工作人员满意度</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C57A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&gt;=95%</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9A54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年度工作计划</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7D60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1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2008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F9B4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5A2CC">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76D821C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6" w:type="dxa"/>
            <w:tcBorders>
              <w:top w:val="nil"/>
              <w:left w:val="nil"/>
              <w:bottom w:val="nil"/>
              <w:right w:val="nil"/>
            </w:tcBorders>
            <w:shd w:val="clear" w:color="auto" w:fill="auto"/>
            <w:noWrap/>
            <w:tcMar>
              <w:top w:w="15" w:type="dxa"/>
              <w:left w:w="15" w:type="dxa"/>
              <w:right w:w="15" w:type="dxa"/>
            </w:tcMar>
            <w:vAlign w:val="center"/>
          </w:tcPr>
          <w:p w14:paraId="072FC71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c>
          <w:tcPr>
            <w:tcW w:w="37" w:type="dxa"/>
            <w:tcBorders>
              <w:top w:val="nil"/>
              <w:left w:val="nil"/>
              <w:bottom w:val="nil"/>
              <w:right w:val="nil"/>
            </w:tcBorders>
            <w:shd w:val="clear" w:color="auto" w:fill="auto"/>
            <w:noWrap/>
            <w:tcMar>
              <w:top w:w="15" w:type="dxa"/>
              <w:left w:w="15" w:type="dxa"/>
              <w:right w:w="15" w:type="dxa"/>
            </w:tcMar>
            <w:vAlign w:val="center"/>
          </w:tcPr>
          <w:p w14:paraId="30CF098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4"/>
                <w:szCs w:val="24"/>
                <w:u w:val="none"/>
              </w:rPr>
            </w:pPr>
          </w:p>
        </w:tc>
      </w:tr>
    </w:tbl>
    <w:p w14:paraId="683703C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textAlignment w:val="auto"/>
        <w:rPr>
          <w:rFonts w:ascii="仿宋_GB2312" w:eastAsia="仿宋_GB2312"/>
          <w:b w:val="0"/>
          <w:color w:val="auto"/>
          <w:sz w:val="32"/>
          <w:szCs w:val="32"/>
        </w:rPr>
      </w:pPr>
    </w:p>
    <w:p w14:paraId="164F6BA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color w:val="auto"/>
          <w:sz w:val="32"/>
          <w:szCs w:val="32"/>
        </w:rPr>
      </w:pPr>
    </w:p>
    <w:tbl>
      <w:tblPr>
        <w:tblStyle w:val="3"/>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41"/>
        <w:gridCol w:w="493"/>
        <w:gridCol w:w="2214"/>
        <w:gridCol w:w="1290"/>
        <w:gridCol w:w="973"/>
        <w:gridCol w:w="738"/>
        <w:gridCol w:w="878"/>
        <w:gridCol w:w="1033"/>
        <w:gridCol w:w="610"/>
      </w:tblGrid>
      <w:tr w14:paraId="304D2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670" w:type="dxa"/>
            <w:gridSpan w:val="9"/>
            <w:tcBorders>
              <w:top w:val="nil"/>
              <w:left w:val="nil"/>
              <w:bottom w:val="nil"/>
              <w:right w:val="nil"/>
            </w:tcBorders>
            <w:shd w:val="clear" w:color="auto" w:fill="auto"/>
            <w:tcMar>
              <w:top w:w="15" w:type="dxa"/>
              <w:left w:w="15" w:type="dxa"/>
              <w:right w:w="15" w:type="dxa"/>
            </w:tcMar>
            <w:vAlign w:val="center"/>
          </w:tcPr>
          <w:p w14:paraId="605118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kern w:val="0"/>
                <w:sz w:val="32"/>
                <w:szCs w:val="32"/>
                <w:u w:val="none"/>
                <w:lang w:val="en-US" w:eastAsia="zh-CN" w:bidi="ar"/>
              </w:rPr>
              <w:t>项  目  支  出  绩  效  目  标  表</w:t>
            </w:r>
          </w:p>
        </w:tc>
      </w:tr>
      <w:tr w14:paraId="5322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670" w:type="dxa"/>
            <w:gridSpan w:val="9"/>
            <w:tcBorders>
              <w:top w:val="nil"/>
              <w:left w:val="nil"/>
              <w:bottom w:val="nil"/>
              <w:right w:val="nil"/>
            </w:tcBorders>
            <w:shd w:val="clear" w:color="auto" w:fill="auto"/>
            <w:tcMar>
              <w:top w:w="15" w:type="dxa"/>
              <w:left w:w="15" w:type="dxa"/>
              <w:right w:w="15" w:type="dxa"/>
            </w:tcMar>
            <w:vAlign w:val="center"/>
          </w:tcPr>
          <w:p w14:paraId="6211B8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(2024年)</w:t>
            </w:r>
          </w:p>
        </w:tc>
      </w:tr>
      <w:tr w14:paraId="626D2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8F1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预算单位</w:t>
            </w:r>
          </w:p>
        </w:tc>
        <w:tc>
          <w:tcPr>
            <w:tcW w:w="77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B3A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乌鲁木齐经济技术开发区（乌鲁木齐市头屯河区）机关事务管理中心</w:t>
            </w:r>
          </w:p>
        </w:tc>
      </w:tr>
      <w:tr w14:paraId="00CB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176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项目名称</w:t>
            </w:r>
          </w:p>
        </w:tc>
        <w:tc>
          <w:tcPr>
            <w:tcW w:w="44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309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调整本级后勤事务专项</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185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项目负责人</w:t>
            </w:r>
          </w:p>
        </w:tc>
        <w:tc>
          <w:tcPr>
            <w:tcW w:w="16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60C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郭进</w:t>
            </w:r>
          </w:p>
        </w:tc>
      </w:tr>
      <w:tr w14:paraId="2BBEC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0A0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项目资金（万元）</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728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年度预算总额：</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C8B8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12</w:t>
            </w:r>
          </w:p>
        </w:tc>
        <w:tc>
          <w:tcPr>
            <w:tcW w:w="97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D5E5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其中：财政拨款</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E14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12</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3F3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其他资金：</w:t>
            </w:r>
          </w:p>
        </w:tc>
        <w:tc>
          <w:tcPr>
            <w:tcW w:w="164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862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r>
      <w:tr w14:paraId="55F2D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DD8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项目总体目标</w:t>
            </w:r>
          </w:p>
        </w:tc>
        <w:tc>
          <w:tcPr>
            <w:tcW w:w="7736"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6CEF53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根据机关事务管理中心“三定方案”中的部门职责进行工作，申请项目资金12万元，用于支付维泰大厦燃气费1.125万元、商务中心食堂燃气费10.875万元，保障维泰大厦、商务中心等办公场所办公运转，不断提升后勤服务水平，为全区各部门单位提供后勤运行保障。</w:t>
            </w:r>
          </w:p>
        </w:tc>
      </w:tr>
      <w:tr w14:paraId="191AE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369017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一级指标</w:t>
            </w:r>
          </w:p>
        </w:tc>
        <w:tc>
          <w:tcPr>
            <w:tcW w:w="4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4124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二级指标</w:t>
            </w:r>
          </w:p>
        </w:tc>
        <w:tc>
          <w:tcPr>
            <w:tcW w:w="22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6AB0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三级指标</w:t>
            </w:r>
          </w:p>
        </w:tc>
        <w:tc>
          <w:tcPr>
            <w:tcW w:w="12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752B9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指标值</w:t>
            </w:r>
          </w:p>
        </w:tc>
        <w:tc>
          <w:tcPr>
            <w:tcW w:w="97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2EB9F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指标值设置依据</w:t>
            </w:r>
          </w:p>
        </w:tc>
        <w:tc>
          <w:tcPr>
            <w:tcW w:w="7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F62C0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上年完成值</w:t>
            </w:r>
          </w:p>
        </w:tc>
        <w:tc>
          <w:tcPr>
            <w:tcW w:w="8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F400D8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指标分值权重</w:t>
            </w:r>
          </w:p>
        </w:tc>
        <w:tc>
          <w:tcPr>
            <w:tcW w:w="103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EE2A9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指标赋分规则</w:t>
            </w:r>
          </w:p>
        </w:tc>
        <w:tc>
          <w:tcPr>
            <w:tcW w:w="61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67378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佐证资料</w:t>
            </w:r>
          </w:p>
        </w:tc>
      </w:tr>
      <w:tr w14:paraId="0F0A6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CE4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产出指标</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8FB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数量指标</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F993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支付维泰大厦燃气费月份</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966B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&gt;=1个月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DB0E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625E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新增</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E637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FFDB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9152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原始凭证</w:t>
            </w:r>
          </w:p>
        </w:tc>
      </w:tr>
      <w:tr w14:paraId="0C20B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4D4A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1ADD9">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718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支付商务中心1号、2号食堂燃气费月份</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F844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&gt;=18个月</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ED70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5540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12个月</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6E01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6F94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5191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原始凭证</w:t>
            </w:r>
          </w:p>
        </w:tc>
      </w:tr>
      <w:tr w14:paraId="5D4C8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58249">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900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质量指标</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756E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后勤保障覆盖率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D6CE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&gt;=98%</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A3CE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历史标准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D2DE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98%</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BD29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C9C2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64B5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7A55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8197A">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DE2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时效指标</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2125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经费申请及时率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3582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&gt;=98%</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02B8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历史标准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63AE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98%</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FDB6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6C5D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6D31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5362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3E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成本指标</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8735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经济成本指标</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8967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支付商务中心1号、2号食堂燃气费</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602B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&lt;=10.875万元</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2413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685A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新增</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3597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AF4F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4390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原始凭证</w:t>
            </w:r>
          </w:p>
        </w:tc>
      </w:tr>
      <w:tr w14:paraId="0A33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5AE2B">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B812B">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CD6E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支付维泰大厦燃气费</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E742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&lt;=1.125万元</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4A14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C67D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新增</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7379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F108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E884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原始凭证</w:t>
            </w:r>
          </w:p>
        </w:tc>
      </w:tr>
      <w:tr w14:paraId="4199D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4F4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效益指标</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77A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社会效益指标</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A4EB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保障后勤工作正常运行</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80C0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有效保障</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A0F7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历史标准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68F9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有效保障</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9300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C9E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按评判等级赋分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946E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说明材料</w:t>
            </w:r>
          </w:p>
        </w:tc>
      </w:tr>
      <w:tr w14:paraId="5852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AD89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满意度指标</w:t>
            </w:r>
          </w:p>
        </w:tc>
        <w:tc>
          <w:tcPr>
            <w:tcW w:w="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2D4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满意度指标</w:t>
            </w:r>
          </w:p>
        </w:tc>
        <w:tc>
          <w:tcPr>
            <w:tcW w:w="22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1BB0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工作人员满意度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35FA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&gt;=95%</w:t>
            </w:r>
          </w:p>
        </w:tc>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C854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历史标准</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8943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95%</w:t>
            </w:r>
          </w:p>
        </w:tc>
        <w:tc>
          <w:tcPr>
            <w:tcW w:w="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FBE6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477F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满意度赋分</w:t>
            </w:r>
          </w:p>
        </w:tc>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A97C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说明材料</w:t>
            </w:r>
          </w:p>
        </w:tc>
      </w:tr>
    </w:tbl>
    <w:p w14:paraId="5B02A7D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color w:val="auto"/>
          <w:sz w:val="32"/>
          <w:szCs w:val="32"/>
        </w:rPr>
      </w:pPr>
    </w:p>
    <w:tbl>
      <w:tblPr>
        <w:tblStyle w:val="3"/>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54"/>
        <w:gridCol w:w="854"/>
        <w:gridCol w:w="854"/>
        <w:gridCol w:w="854"/>
        <w:gridCol w:w="854"/>
        <w:gridCol w:w="854"/>
        <w:gridCol w:w="854"/>
        <w:gridCol w:w="854"/>
        <w:gridCol w:w="1838"/>
      </w:tblGrid>
      <w:tr w14:paraId="797C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670" w:type="dxa"/>
            <w:gridSpan w:val="9"/>
            <w:tcBorders>
              <w:top w:val="nil"/>
              <w:left w:val="nil"/>
              <w:bottom w:val="nil"/>
              <w:right w:val="nil"/>
            </w:tcBorders>
            <w:shd w:val="clear" w:color="auto" w:fill="auto"/>
            <w:tcMar>
              <w:top w:w="15" w:type="dxa"/>
              <w:left w:w="15" w:type="dxa"/>
              <w:right w:w="15" w:type="dxa"/>
            </w:tcMar>
            <w:vAlign w:val="center"/>
          </w:tcPr>
          <w:p w14:paraId="43EE6E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kern w:val="0"/>
                <w:sz w:val="32"/>
                <w:szCs w:val="32"/>
                <w:u w:val="none"/>
                <w:lang w:val="en-US" w:eastAsia="zh-CN" w:bidi="ar"/>
              </w:rPr>
              <w:t>项  目  支  出  绩  效  目  标  表</w:t>
            </w:r>
          </w:p>
        </w:tc>
      </w:tr>
      <w:tr w14:paraId="719FD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670" w:type="dxa"/>
            <w:gridSpan w:val="9"/>
            <w:tcBorders>
              <w:top w:val="nil"/>
              <w:left w:val="nil"/>
              <w:bottom w:val="nil"/>
              <w:right w:val="nil"/>
            </w:tcBorders>
            <w:shd w:val="clear" w:color="auto" w:fill="auto"/>
            <w:tcMar>
              <w:top w:w="15" w:type="dxa"/>
              <w:left w:w="15" w:type="dxa"/>
              <w:right w:w="15" w:type="dxa"/>
            </w:tcMar>
            <w:vAlign w:val="center"/>
          </w:tcPr>
          <w:p w14:paraId="194CF0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(2024年)</w:t>
            </w:r>
          </w:p>
        </w:tc>
      </w:tr>
      <w:tr w14:paraId="77CF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7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EDA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预算单位</w:t>
            </w:r>
          </w:p>
        </w:tc>
        <w:tc>
          <w:tcPr>
            <w:tcW w:w="696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864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乌鲁木齐经济技术开发区（乌鲁木齐市头屯河区）机关事务管理中心</w:t>
            </w:r>
          </w:p>
        </w:tc>
      </w:tr>
      <w:tr w14:paraId="3FA82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7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DFD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项目名称</w:t>
            </w:r>
          </w:p>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355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公务用车调度平台服务费</w:t>
            </w:r>
          </w:p>
        </w:tc>
        <w:tc>
          <w:tcPr>
            <w:tcW w:w="17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7BB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项目负责人</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B4D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宋刚</w:t>
            </w:r>
          </w:p>
        </w:tc>
      </w:tr>
      <w:tr w14:paraId="12D5C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7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29D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项目资金（万元）</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AC8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年度预算总额：</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FAB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10</w:t>
            </w:r>
          </w:p>
        </w:tc>
        <w:tc>
          <w:tcPr>
            <w:tcW w:w="85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78A3C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其中：财政拨款</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1E7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10</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DCF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其他资金：</w:t>
            </w:r>
          </w:p>
        </w:tc>
        <w:tc>
          <w:tcPr>
            <w:tcW w:w="26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D38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r>
      <w:tr w14:paraId="7737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7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265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项目总体目标</w:t>
            </w:r>
          </w:p>
        </w:tc>
        <w:tc>
          <w:tcPr>
            <w:tcW w:w="6962"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18ABFB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在区委办、政府办的坚强领导下，以“三定方案”中机关事务管理中心部门职责为工作重心，深入贯彻落实上级部门关于机关事务工作有关重要批示精神和重大决策部署，不断提升后勤服务水平，有效保障维泰大厦、商务中心等办公场所办公运转，为全区各部门单位提供后勤运行保障。</w:t>
            </w:r>
          </w:p>
        </w:tc>
      </w:tr>
      <w:tr w14:paraId="66C4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1153E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一级指标</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F1D47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二级指标</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E0A40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三级指标</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8FF1E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指标值</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830EC8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指标值设置依据</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47E2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上年完成值</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40C1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指标分值权重</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034B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指标赋分规则</w:t>
            </w:r>
          </w:p>
        </w:tc>
        <w:tc>
          <w:tcPr>
            <w:tcW w:w="18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CCAD1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佐证资料</w:t>
            </w:r>
          </w:p>
        </w:tc>
      </w:tr>
      <w:tr w14:paraId="34A79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F23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产出指标</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870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数量指标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38F0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平台运营车辆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9738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&gt;=10辆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21AD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888AB">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D0C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1EB1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2FDC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0F8E2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37089">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EBEAE">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E512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车辆驾驶人</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FF01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&gt;=10人</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2CC8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31F12">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6D32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3B5A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4F39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26909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CB729">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D5ADE">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CA86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平台管理人员</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AB2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&gt;=2人</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86C7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345A9">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FEC3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0343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E7B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31AE3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3EBEA">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CA7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质量指标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F751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平台正常使用率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8947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&gt;=99%</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C9B2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EA823">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AD51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5C71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EC8B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6F539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7A4D4">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580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时效指标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17D3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车辆使用次数</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B15F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&gt;=3辆/次/天</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94C8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66C45">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C341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3BF9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BE2A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0745D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DB9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成本指标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221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经济成本指标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BD17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平台服务费用</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D18C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&lt;=10万元</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C16B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A3056">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BBC4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CFAE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按照完成比例赋分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C5D9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工作资料</w:t>
            </w:r>
          </w:p>
        </w:tc>
      </w:tr>
      <w:tr w14:paraId="42EAF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DD3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效益指标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7F2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95C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节约公务用车费用</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CB20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&lt;=600万元</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22C4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计划标准</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4E3F8">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5D5A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2B91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按评判等级赋分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B6C8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原始凭证</w:t>
            </w:r>
          </w:p>
        </w:tc>
      </w:tr>
      <w:tr w14:paraId="5228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592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85D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2252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用车单位满意度</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CA04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&gt;=98%</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E775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自定义</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0CD6">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color w:val="auto"/>
                <w:sz w:val="20"/>
                <w:szCs w:val="20"/>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F51D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E4FE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满意度赋分</w:t>
            </w:r>
          </w:p>
        </w:tc>
        <w:tc>
          <w:tcPr>
            <w:tcW w:w="1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070C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说明材料</w:t>
            </w:r>
          </w:p>
        </w:tc>
      </w:tr>
    </w:tbl>
    <w:p w14:paraId="4585D57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color w:val="auto"/>
          <w:sz w:val="32"/>
          <w:szCs w:val="32"/>
        </w:rPr>
      </w:pPr>
    </w:p>
    <w:p w14:paraId="18E07E1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color w:val="auto"/>
          <w:sz w:val="32"/>
          <w:szCs w:val="32"/>
        </w:rPr>
      </w:pPr>
      <w:r>
        <w:rPr>
          <w:rFonts w:ascii="黑体" w:eastAsia="黑体"/>
          <w:b w:val="0"/>
          <w:color w:val="auto"/>
          <w:sz w:val="32"/>
          <w:szCs w:val="32"/>
        </w:rPr>
        <w:t>十二、其他需说明的事项</w:t>
      </w:r>
    </w:p>
    <w:p w14:paraId="677661C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color w:val="auto"/>
          <w:sz w:val="32"/>
          <w:szCs w:val="32"/>
        </w:rPr>
      </w:pPr>
      <w:r>
        <w:rPr>
          <w:rFonts w:ascii="仿宋_GB2312" w:eastAsia="仿宋_GB2312"/>
          <w:b w:val="0"/>
          <w:color w:val="auto"/>
          <w:sz w:val="32"/>
          <w:szCs w:val="32"/>
        </w:rPr>
        <w:t>本单位无其他需说明事项。</w:t>
      </w:r>
    </w:p>
    <w:p w14:paraId="552B106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color w:val="auto"/>
          <w:sz w:val="32"/>
          <w:szCs w:val="32"/>
        </w:rPr>
      </w:pPr>
    </w:p>
    <w:p w14:paraId="24ECCD30">
      <w:pPr>
        <w:keepNext w:val="0"/>
        <w:keepLines w:val="0"/>
        <w:pageBreakBefore w:val="0"/>
        <w:widowControl/>
        <w:kinsoku/>
        <w:wordWrap/>
        <w:overflowPunct/>
        <w:topLinePunct w:val="0"/>
        <w:autoSpaceDE/>
        <w:autoSpaceDN/>
        <w:bidi w:val="0"/>
        <w:adjustRightInd/>
        <w:snapToGrid/>
        <w:spacing w:line="560" w:lineRule="exact"/>
        <w:textAlignment w:val="auto"/>
        <w:rPr>
          <w:color w:val="auto"/>
        </w:rPr>
      </w:pPr>
      <w:r>
        <w:rPr>
          <w:b w:val="0"/>
          <w:color w:val="auto"/>
          <w:sz w:val="0"/>
          <w:szCs w:val="0"/>
        </w:rPr>
        <w:br w:type="page"/>
      </w:r>
    </w:p>
    <w:p w14:paraId="7CA0B0A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color w:val="auto"/>
          <w:sz w:val="32"/>
          <w:szCs w:val="32"/>
        </w:rPr>
      </w:pPr>
      <w:r>
        <w:rPr>
          <w:rFonts w:ascii="黑体" w:eastAsia="黑体"/>
          <w:b w:val="0"/>
          <w:color w:val="auto"/>
          <w:sz w:val="32"/>
          <w:szCs w:val="32"/>
        </w:rPr>
        <w:t>第三部分 专业名词解释</w:t>
      </w:r>
    </w:p>
    <w:p w14:paraId="6A021B6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一、财政拨款收入：</w:t>
      </w:r>
      <w:r>
        <w:rPr>
          <w:rFonts w:ascii="仿宋_GB2312" w:eastAsia="仿宋_GB2312"/>
          <w:b w:val="0"/>
          <w:color w:val="auto"/>
          <w:sz w:val="32"/>
          <w:szCs w:val="32"/>
        </w:rPr>
        <w:t>指同级财政当年拨付的资金。</w:t>
      </w:r>
    </w:p>
    <w:p w14:paraId="53B52C4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二、上级补助收入：</w:t>
      </w:r>
      <w:r>
        <w:rPr>
          <w:rFonts w:ascii="仿宋_GB2312" w:eastAsia="仿宋_GB2312"/>
          <w:b w:val="0"/>
          <w:color w:val="auto"/>
          <w:sz w:val="32"/>
          <w:szCs w:val="32"/>
        </w:rPr>
        <w:t>指事业单位从主管部门和上级单位取得的非财政补助收入。</w:t>
      </w:r>
    </w:p>
    <w:p w14:paraId="3F53C67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三、事业收入：</w:t>
      </w:r>
      <w:r>
        <w:rPr>
          <w:rFonts w:ascii="仿宋_GB2312" w:eastAsia="仿宋_GB2312"/>
          <w:b w:val="0"/>
          <w:color w:val="auto"/>
          <w:sz w:val="32"/>
          <w:szCs w:val="32"/>
        </w:rPr>
        <w:t>指事业单位开展专业业务活动及其辅助活动所取得的收入。</w:t>
      </w:r>
    </w:p>
    <w:p w14:paraId="7CFA6CD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四、经营收入：</w:t>
      </w:r>
      <w:r>
        <w:rPr>
          <w:rFonts w:ascii="仿宋_GB2312" w:eastAsia="仿宋_GB2312"/>
          <w:b w:val="0"/>
          <w:color w:val="auto"/>
          <w:sz w:val="32"/>
          <w:szCs w:val="32"/>
        </w:rPr>
        <w:t>指事业单位在专业业务活动及其辅助活动之外开展非独立核算经营活动取得的收入。</w:t>
      </w:r>
    </w:p>
    <w:p w14:paraId="5E2EEAB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五、附属单位上缴收入：</w:t>
      </w:r>
      <w:r>
        <w:rPr>
          <w:rFonts w:ascii="仿宋_GB2312" w:eastAsia="仿宋_GB2312"/>
          <w:b w:val="0"/>
          <w:color w:val="auto"/>
          <w:sz w:val="32"/>
          <w:szCs w:val="32"/>
        </w:rPr>
        <w:t>指事业单位附属的独立核算单位按有关规定上缴的收入。</w:t>
      </w:r>
    </w:p>
    <w:p w14:paraId="20896B0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六、其他收入：</w:t>
      </w:r>
      <w:r>
        <w:rPr>
          <w:rFonts w:ascii="仿宋_GB2312" w:eastAsia="仿宋_GB2312"/>
          <w:b w:val="0"/>
          <w:color w:val="auto"/>
          <w:sz w:val="32"/>
          <w:szCs w:val="32"/>
        </w:rPr>
        <w:t>指除上述“财政拨款收入”、“事业收入”、“经营收入”、“附属单位上缴收入”等之外取得的收入。</w:t>
      </w:r>
    </w:p>
    <w:p w14:paraId="071C20B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七、年初结转和结余：</w:t>
      </w:r>
      <w:r>
        <w:rPr>
          <w:rFonts w:ascii="仿宋_GB2312" w:eastAsia="仿宋_GB2312"/>
          <w:b w:val="0"/>
          <w:color w:val="auto"/>
          <w:sz w:val="32"/>
          <w:szCs w:val="32"/>
        </w:rPr>
        <w:t>指以前年度支出预算因客观条件变化未执行完毕、结转到本年度按有关规定继续使用的资金，既包括财政拨款结转和结余，也包括事业收入、经营收入、其他收入的结转和结余。</w:t>
      </w:r>
    </w:p>
    <w:p w14:paraId="1858C5A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八、年末结转和结余：</w:t>
      </w:r>
      <w:r>
        <w:rPr>
          <w:rFonts w:ascii="仿宋_GB2312" w:eastAsia="仿宋_GB2312"/>
          <w:b w:val="0"/>
          <w:color w:val="auto"/>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633F46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九、基本支出：</w:t>
      </w:r>
      <w:r>
        <w:rPr>
          <w:rFonts w:ascii="仿宋_GB2312" w:eastAsia="仿宋_GB2312"/>
          <w:b w:val="0"/>
          <w:color w:val="auto"/>
          <w:sz w:val="32"/>
          <w:szCs w:val="32"/>
        </w:rPr>
        <w:t>指为保障机构正常运转、完成日常工作任务而发生的人员支出和公用支出。</w:t>
      </w:r>
    </w:p>
    <w:p w14:paraId="109A4FC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十、项目支出：</w:t>
      </w:r>
      <w:r>
        <w:rPr>
          <w:rFonts w:ascii="仿宋_GB2312" w:eastAsia="仿宋_GB2312"/>
          <w:b w:val="0"/>
          <w:color w:val="auto"/>
          <w:sz w:val="32"/>
          <w:szCs w:val="32"/>
        </w:rPr>
        <w:t>指在基本支出之外为完成特定行政任务和事业发展目标所发生的支出。</w:t>
      </w:r>
    </w:p>
    <w:p w14:paraId="23D2465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十一、经营支出：</w:t>
      </w:r>
      <w:r>
        <w:rPr>
          <w:rFonts w:ascii="仿宋_GB2312" w:eastAsia="仿宋_GB2312"/>
          <w:b w:val="0"/>
          <w:color w:val="auto"/>
          <w:sz w:val="32"/>
          <w:szCs w:val="32"/>
        </w:rPr>
        <w:t>指事业单位在专业业务活动及其辅助活动之外开展非独立核算经营活动发生的支出。</w:t>
      </w:r>
    </w:p>
    <w:p w14:paraId="6742EC8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十二、对附属单位补助支出：</w:t>
      </w:r>
      <w:r>
        <w:rPr>
          <w:rFonts w:ascii="仿宋_GB2312" w:eastAsia="仿宋_GB2312"/>
          <w:b w:val="0"/>
          <w:color w:val="auto"/>
          <w:sz w:val="32"/>
          <w:szCs w:val="32"/>
        </w:rPr>
        <w:t>指事业单位发生的用非财政预算资金对附属单位的补助支出。</w:t>
      </w:r>
    </w:p>
    <w:p w14:paraId="5DAEE3A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十三、“三公”经费：</w:t>
      </w:r>
      <w:r>
        <w:rPr>
          <w:rFonts w:ascii="仿宋_GB2312" w:eastAsia="仿宋_GB2312"/>
          <w:b w:val="0"/>
          <w:color w:val="auto"/>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C9345F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color w:val="auto"/>
          <w:sz w:val="32"/>
          <w:szCs w:val="32"/>
        </w:rPr>
      </w:pPr>
      <w:r>
        <w:rPr>
          <w:rFonts w:ascii="仿宋_GB2312" w:eastAsia="仿宋_GB2312"/>
          <w:b/>
          <w:color w:val="auto"/>
          <w:sz w:val="32"/>
          <w:szCs w:val="32"/>
        </w:rPr>
        <w:t>十四、机关运行经费：</w:t>
      </w:r>
      <w:r>
        <w:rPr>
          <w:rFonts w:ascii="仿宋_GB2312" w:eastAsia="仿宋_GB2312"/>
          <w:b w:val="0"/>
          <w:color w:val="auto"/>
          <w:sz w:val="32"/>
          <w:szCs w:val="32"/>
        </w:rPr>
        <w:t>行政单位和参照公务员法管理的事业单位财政拨款基本支出中的公用经费支出。</w:t>
      </w:r>
    </w:p>
    <w:p w14:paraId="0850B2D3">
      <w:pPr>
        <w:keepNext w:val="0"/>
        <w:keepLines w:val="0"/>
        <w:pageBreakBefore w:val="0"/>
        <w:widowControl/>
        <w:kinsoku/>
        <w:wordWrap/>
        <w:overflowPunct/>
        <w:topLinePunct w:val="0"/>
        <w:autoSpaceDE/>
        <w:autoSpaceDN/>
        <w:bidi w:val="0"/>
        <w:adjustRightInd/>
        <w:snapToGrid/>
        <w:spacing w:line="560" w:lineRule="exact"/>
        <w:textAlignment w:val="auto"/>
        <w:rPr>
          <w:color w:val="auto"/>
        </w:rPr>
      </w:pPr>
      <w:r>
        <w:rPr>
          <w:b w:val="0"/>
          <w:color w:val="auto"/>
          <w:sz w:val="0"/>
          <w:szCs w:val="0"/>
        </w:rPr>
        <w:br w:type="page"/>
      </w:r>
    </w:p>
    <w:p w14:paraId="5AEEF13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color w:val="auto"/>
          <w:sz w:val="32"/>
          <w:szCs w:val="32"/>
        </w:rPr>
      </w:pPr>
      <w:r>
        <w:rPr>
          <w:rFonts w:ascii="黑体" w:eastAsia="黑体"/>
          <w:b w:val="0"/>
          <w:color w:val="auto"/>
          <w:sz w:val="32"/>
          <w:szCs w:val="32"/>
        </w:rPr>
        <w:t xml:space="preserve">第四部分 </w:t>
      </w:r>
      <w:r>
        <w:rPr>
          <w:rFonts w:hint="eastAsia" w:ascii="黑体" w:eastAsia="黑体"/>
          <w:b w:val="0"/>
          <w:color w:val="auto"/>
          <w:sz w:val="32"/>
          <w:szCs w:val="32"/>
          <w:lang w:val="en-US" w:eastAsia="zh-CN"/>
        </w:rPr>
        <w:t>单位</w:t>
      </w:r>
      <w:r>
        <w:rPr>
          <w:rFonts w:ascii="黑体" w:eastAsia="黑体"/>
          <w:b w:val="0"/>
          <w:color w:val="auto"/>
          <w:sz w:val="32"/>
          <w:szCs w:val="32"/>
        </w:rPr>
        <w:t>决算报表（见附表）</w:t>
      </w:r>
    </w:p>
    <w:p w14:paraId="724B78A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一、《收入支出决算总表》</w:t>
      </w:r>
    </w:p>
    <w:p w14:paraId="0917114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二、《收入决算表》</w:t>
      </w:r>
    </w:p>
    <w:p w14:paraId="7F2E9E9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三、《支出决算表》</w:t>
      </w:r>
    </w:p>
    <w:p w14:paraId="4C7427D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四、《财政拨款收入支出决算总表》</w:t>
      </w:r>
    </w:p>
    <w:p w14:paraId="011273B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五、《一般公共预算财政拨款支出决算表》</w:t>
      </w:r>
    </w:p>
    <w:p w14:paraId="3DA7A34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六、《一般公共预算财政拨款基本支出决算表》</w:t>
      </w:r>
    </w:p>
    <w:p w14:paraId="545E508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七、《政府性基金预算财政拨款收入支出决算表》</w:t>
      </w:r>
    </w:p>
    <w:p w14:paraId="7459615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八、《国有资本经营预算财政拨款收入支出决算表》</w:t>
      </w:r>
    </w:p>
    <w:p w14:paraId="07E6A2C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color w:val="auto"/>
          <w:sz w:val="32"/>
          <w:szCs w:val="32"/>
        </w:rPr>
      </w:pPr>
      <w:r>
        <w:rPr>
          <w:rFonts w:ascii="仿宋_GB2312" w:eastAsia="仿宋_GB2312"/>
          <w:b w:val="0"/>
          <w:color w:val="auto"/>
          <w:sz w:val="32"/>
          <w:szCs w:val="32"/>
        </w:rPr>
        <w:t>九、《财政拨款“三公”经费支出决算表》</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15B48"/>
    <w:rsid w:val="07FC072A"/>
    <w:rsid w:val="0BC32E1A"/>
    <w:rsid w:val="0FD43EA9"/>
    <w:rsid w:val="132548A8"/>
    <w:rsid w:val="14FF69E4"/>
    <w:rsid w:val="1DAA77E9"/>
    <w:rsid w:val="1F7E7BC0"/>
    <w:rsid w:val="1FDF64A8"/>
    <w:rsid w:val="2312609E"/>
    <w:rsid w:val="3B7171D0"/>
    <w:rsid w:val="3F076A40"/>
    <w:rsid w:val="423A65A6"/>
    <w:rsid w:val="476F08DA"/>
    <w:rsid w:val="49CB2F9F"/>
    <w:rsid w:val="502D0316"/>
    <w:rsid w:val="51BA58C7"/>
    <w:rsid w:val="5EBD3AE5"/>
    <w:rsid w:val="5F136194"/>
    <w:rsid w:val="73AA3251"/>
    <w:rsid w:val="7B5E1A1A"/>
    <w:rsid w:val="7E2B15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BCF8C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TotalTime>14</TotalTime>
  <ScaleCrop>false</ScaleCrop>
  <LinksUpToDate>false</LinksUpToDate>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2025-09-13T03:49:00Z</dcterms:created>
  <dc:creator>dell</dc:creator>
  <cp:lastModifiedBy>何元斌</cp:lastModifiedBy>
  <dcterms:modified xsi:type="dcterms:W3CDTF">2025-11-04T08:45:17Z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EB3717DFBA404F84AF31D8CF686F0355_13</vt:lpwstr>
  </property>
</Properties>
</file>