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36484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宋体" w:eastAsia="宋体"/>
          <w:sz w:val="32"/>
          <w:szCs w:val="32"/>
        </w:rPr>
      </w:pPr>
    </w:p>
    <w:p w14:paraId="6885A2A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宋体" w:eastAsia="宋体"/>
          <w:sz w:val="44"/>
          <w:szCs w:val="44"/>
        </w:rPr>
      </w:pPr>
    </w:p>
    <w:p w14:paraId="7FDC318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宋体" w:eastAsia="宋体"/>
          <w:sz w:val="44"/>
          <w:szCs w:val="44"/>
        </w:rPr>
      </w:pPr>
    </w:p>
    <w:p w14:paraId="3CB11C1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宋体" w:eastAsia="宋体"/>
          <w:sz w:val="44"/>
          <w:szCs w:val="44"/>
        </w:rPr>
      </w:pPr>
    </w:p>
    <w:p w14:paraId="00D7EB8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宋体" w:eastAsia="黑体"/>
          <w:sz w:val="44"/>
          <w:szCs w:val="44"/>
        </w:rPr>
      </w:pPr>
      <w:r>
        <w:rPr>
          <w:rFonts w:ascii="宋体" w:eastAsia="黑体"/>
          <w:b w:val="0"/>
          <w:sz w:val="44"/>
          <w:szCs w:val="44"/>
        </w:rPr>
        <w:t>乌鲁木齐经济技术开发区管理委员会（乌鲁木齐市头屯河区人民政府）办公室</w:t>
      </w:r>
    </w:p>
    <w:p w14:paraId="1DD2534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44"/>
          <w:szCs w:val="44"/>
        </w:rPr>
      </w:pPr>
      <w:r>
        <w:rPr>
          <w:rFonts w:ascii="黑体" w:eastAsia="黑体"/>
          <w:b w:val="0"/>
          <w:sz w:val="44"/>
          <w:szCs w:val="44"/>
        </w:rPr>
        <w:t>2024年度部门决算公开说明</w:t>
      </w:r>
    </w:p>
    <w:p w14:paraId="68C40F88">
      <w:pPr>
        <w:keepNext w:val="0"/>
        <w:keepLines w:val="0"/>
        <w:pageBreakBefore w:val="0"/>
        <w:widowControl/>
        <w:kinsoku/>
        <w:wordWrap/>
        <w:overflowPunct/>
        <w:topLinePunct w:val="0"/>
        <w:autoSpaceDE/>
        <w:autoSpaceDN/>
        <w:bidi w:val="0"/>
        <w:adjustRightInd/>
        <w:snapToGrid/>
        <w:spacing w:line="560" w:lineRule="exact"/>
        <w:textAlignment w:val="auto"/>
      </w:pPr>
      <w:r>
        <w:rPr>
          <w:b w:val="0"/>
          <w:sz w:val="0"/>
          <w:szCs w:val="0"/>
        </w:rPr>
        <w:br w:type="page"/>
      </w:r>
    </w:p>
    <w:p w14:paraId="28A00BA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rPr>
          <w:rFonts w:ascii="黑体" w:eastAsia="黑体"/>
          <w:sz w:val="32"/>
          <w:szCs w:val="32"/>
        </w:rPr>
      </w:pPr>
      <w:r>
        <w:rPr>
          <w:rFonts w:ascii="黑体" w:eastAsia="黑体"/>
          <w:b/>
          <w:sz w:val="32"/>
          <w:szCs w:val="32"/>
        </w:rPr>
        <w:t>目  录</w:t>
      </w:r>
    </w:p>
    <w:p w14:paraId="1317E3B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sz w:val="32"/>
          <w:szCs w:val="32"/>
        </w:rPr>
        <w:t>第一部分</w:t>
      </w:r>
      <w:r>
        <w:rPr>
          <w:rFonts w:hint="eastAsia" w:ascii="仿宋_GB2312" w:eastAsia="仿宋_GB2312"/>
          <w:b/>
          <w:sz w:val="32"/>
          <w:szCs w:val="32"/>
          <w:lang w:val="en-US" w:eastAsia="zh-CN"/>
        </w:rPr>
        <w:t xml:space="preserve">  单位</w:t>
      </w:r>
      <w:r>
        <w:rPr>
          <w:rFonts w:ascii="仿宋_GB2312" w:eastAsia="仿宋_GB2312"/>
          <w:b/>
          <w:sz w:val="32"/>
          <w:szCs w:val="32"/>
        </w:rPr>
        <w:t>概况</w:t>
      </w:r>
    </w:p>
    <w:p w14:paraId="513C3BD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一、主要职能</w:t>
      </w:r>
    </w:p>
    <w:p w14:paraId="5EA1D6C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二、机构设置及人员情况</w:t>
      </w:r>
    </w:p>
    <w:p w14:paraId="1444887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sz w:val="32"/>
          <w:szCs w:val="32"/>
        </w:rPr>
        <w:t>第二部分</w:t>
      </w:r>
      <w:r>
        <w:rPr>
          <w:rFonts w:hint="eastAsia" w:ascii="仿宋_GB2312" w:eastAsia="仿宋_GB2312"/>
          <w:b/>
          <w:sz w:val="32"/>
          <w:szCs w:val="32"/>
          <w:lang w:val="en-US" w:eastAsia="zh-CN"/>
        </w:rPr>
        <w:t xml:space="preserve">  单位</w:t>
      </w:r>
      <w:r>
        <w:rPr>
          <w:rFonts w:ascii="仿宋_GB2312" w:eastAsia="仿宋_GB2312"/>
          <w:b/>
          <w:sz w:val="32"/>
          <w:szCs w:val="32"/>
        </w:rPr>
        <w:t>决算情况说明</w:t>
      </w:r>
    </w:p>
    <w:p w14:paraId="7DF0D8D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一、收入支出决算总体情况说明</w:t>
      </w:r>
    </w:p>
    <w:p w14:paraId="0DAD148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二、收入决算情况说明</w:t>
      </w:r>
    </w:p>
    <w:p w14:paraId="1E73A42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三、支出决算情况说明</w:t>
      </w:r>
    </w:p>
    <w:p w14:paraId="4C5C2D7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四、财政拨款收入支出决算总体情况说明</w:t>
      </w:r>
    </w:p>
    <w:p w14:paraId="7E1167F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五、一般公共预算财政拨款支出决算情况说明</w:t>
      </w:r>
    </w:p>
    <w:p w14:paraId="1E70424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（一）一般公共预算财政拨款支出决算总体情况</w:t>
      </w:r>
    </w:p>
    <w:p w14:paraId="405EDFD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（二）一般公共预算财政拨款支出决算结构情况</w:t>
      </w:r>
    </w:p>
    <w:p w14:paraId="1FA24A3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（三）一般公共预算财政拨款支出决算具体情况</w:t>
      </w:r>
    </w:p>
    <w:p w14:paraId="071B194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六、一般公共预算财政拨款基本支出决算情况说明</w:t>
      </w:r>
    </w:p>
    <w:p w14:paraId="60FB463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七、政府性基金预算财政拨款收入支出决算情况说明</w:t>
      </w:r>
    </w:p>
    <w:p w14:paraId="3B24873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八、国有资本经营预算财政拨款收入支出决算情况说明</w:t>
      </w:r>
    </w:p>
    <w:p w14:paraId="422F03B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九、财政拨款“三公”经费支出决算情况说明</w:t>
      </w:r>
    </w:p>
    <w:p w14:paraId="773CC68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十、其他重要事项的情况说明</w:t>
      </w:r>
    </w:p>
    <w:p w14:paraId="667A836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（一）机关运行经费及公用经费支出情况</w:t>
      </w:r>
    </w:p>
    <w:p w14:paraId="18443B4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（二）政府采购情况</w:t>
      </w:r>
    </w:p>
    <w:p w14:paraId="670A575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（三）国有资产占用情况说明</w:t>
      </w:r>
    </w:p>
    <w:p w14:paraId="7B419AF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十一、预算绩效的情况说明</w:t>
      </w:r>
    </w:p>
    <w:p w14:paraId="21876F1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十二、其他需说明的事项</w:t>
      </w:r>
    </w:p>
    <w:p w14:paraId="661E570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sz w:val="32"/>
          <w:szCs w:val="32"/>
        </w:rPr>
        <w:t>第三部分 专业名词解释</w:t>
      </w:r>
    </w:p>
    <w:p w14:paraId="5FB7A0B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sz w:val="32"/>
          <w:szCs w:val="32"/>
        </w:rPr>
        <w:t xml:space="preserve">第四部分 </w:t>
      </w:r>
      <w:r>
        <w:rPr>
          <w:rFonts w:hint="eastAsia" w:ascii="仿宋_GB2312" w:eastAsia="仿宋_GB2312"/>
          <w:b/>
          <w:sz w:val="32"/>
          <w:szCs w:val="32"/>
          <w:lang w:val="en-US" w:eastAsia="zh-CN"/>
        </w:rPr>
        <w:t>单位</w:t>
      </w:r>
      <w:r>
        <w:rPr>
          <w:rFonts w:ascii="仿宋_GB2312" w:eastAsia="仿宋_GB2312"/>
          <w:b/>
          <w:sz w:val="32"/>
          <w:szCs w:val="32"/>
        </w:rPr>
        <w:t>决算报表（见附表）</w:t>
      </w:r>
    </w:p>
    <w:p w14:paraId="6CAE403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一、《收入支出决算总表》</w:t>
      </w:r>
    </w:p>
    <w:p w14:paraId="0468A58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二、《收入决算表》</w:t>
      </w:r>
    </w:p>
    <w:p w14:paraId="4BA0908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三、《支出决算表》</w:t>
      </w:r>
    </w:p>
    <w:p w14:paraId="49EB1A1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四、《财政拨款收入支出决算总表》</w:t>
      </w:r>
    </w:p>
    <w:p w14:paraId="65A4162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五、《一般公共预算财政拨款支出决算表》</w:t>
      </w:r>
    </w:p>
    <w:p w14:paraId="0ABF3D1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六、《一般公共预算财政拨款基本支出决算表》</w:t>
      </w:r>
    </w:p>
    <w:p w14:paraId="0AAFD11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七、《政府性基金预算财政拨款收入支出决算表》</w:t>
      </w:r>
    </w:p>
    <w:p w14:paraId="0B32E68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八、《国有资本经营预算财政拨款收入支出决算表》</w:t>
      </w:r>
    </w:p>
    <w:p w14:paraId="4316739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九、《财政拨款“三公”经费支出决算表》</w:t>
      </w:r>
    </w:p>
    <w:p w14:paraId="68F55692">
      <w:pPr>
        <w:keepNext w:val="0"/>
        <w:keepLines w:val="0"/>
        <w:pageBreakBefore w:val="0"/>
        <w:widowControl/>
        <w:kinsoku/>
        <w:wordWrap/>
        <w:overflowPunct/>
        <w:topLinePunct w:val="0"/>
        <w:autoSpaceDE/>
        <w:autoSpaceDN/>
        <w:bidi w:val="0"/>
        <w:adjustRightInd/>
        <w:snapToGrid/>
        <w:spacing w:line="560" w:lineRule="exact"/>
        <w:textAlignment w:val="auto"/>
      </w:pPr>
      <w:r>
        <w:rPr>
          <w:b w:val="0"/>
          <w:sz w:val="0"/>
          <w:szCs w:val="0"/>
        </w:rPr>
        <w:br w:type="page"/>
      </w:r>
    </w:p>
    <w:p w14:paraId="31CA1CF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32"/>
          <w:szCs w:val="32"/>
        </w:rPr>
      </w:pPr>
      <w:r>
        <w:rPr>
          <w:rFonts w:ascii="黑体" w:eastAsia="黑体"/>
          <w:b w:val="0"/>
          <w:sz w:val="32"/>
          <w:szCs w:val="32"/>
        </w:rPr>
        <w:t>第一部分 </w:t>
      </w:r>
      <w:r>
        <w:rPr>
          <w:rFonts w:hint="eastAsia" w:ascii="黑体" w:eastAsia="黑体"/>
          <w:b w:val="0"/>
          <w:sz w:val="32"/>
          <w:szCs w:val="32"/>
          <w:lang w:val="en-US" w:eastAsia="zh-CN"/>
        </w:rPr>
        <w:t>单位</w:t>
      </w:r>
      <w:r>
        <w:rPr>
          <w:rFonts w:ascii="黑体" w:eastAsia="黑体"/>
          <w:b w:val="0"/>
          <w:sz w:val="32"/>
          <w:szCs w:val="32"/>
        </w:rPr>
        <w:t>概况</w:t>
      </w:r>
    </w:p>
    <w:p w14:paraId="6F180F1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 一、主要职能</w:t>
      </w:r>
    </w:p>
    <w:p w14:paraId="0683395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乌鲁木齐经济技术开发区管理委员会（乌鲁木齐市头屯河区人民政府）办公室承担区委、管委会（区政府）运行保障具体事务，</w:t>
      </w:r>
      <w:r>
        <w:rPr>
          <w:rFonts w:hint="eastAsia" w:ascii="仿宋_GB2312" w:eastAsia="仿宋_GB2312"/>
          <w:sz w:val="32"/>
          <w:szCs w:val="32"/>
          <w:lang w:eastAsia="zh-CN"/>
        </w:rPr>
        <w:t>主要</w:t>
      </w:r>
      <w:r>
        <w:rPr>
          <w:rFonts w:hint="eastAsia" w:ascii="仿宋_GB2312" w:eastAsia="仿宋_GB2312"/>
          <w:sz w:val="32"/>
          <w:szCs w:val="32"/>
        </w:rPr>
        <w:t>负责区委、管委会（区政府）日常工作综合协调</w:t>
      </w:r>
      <w:r>
        <w:rPr>
          <w:rFonts w:hint="eastAsia" w:ascii="仿宋_GB2312" w:eastAsia="仿宋_GB2312"/>
          <w:sz w:val="32"/>
          <w:szCs w:val="32"/>
          <w:lang w:eastAsia="zh-CN"/>
        </w:rPr>
        <w:t>、</w:t>
      </w:r>
      <w:r>
        <w:rPr>
          <w:rFonts w:hint="eastAsia" w:ascii="仿宋_GB2312" w:eastAsia="仿宋_GB2312"/>
          <w:sz w:val="32"/>
          <w:szCs w:val="32"/>
        </w:rPr>
        <w:t>日常文电处理</w:t>
      </w:r>
      <w:r>
        <w:rPr>
          <w:rFonts w:hint="eastAsia" w:ascii="仿宋_GB2312" w:eastAsia="仿宋_GB2312"/>
          <w:sz w:val="32"/>
          <w:szCs w:val="32"/>
          <w:lang w:eastAsia="zh-CN"/>
        </w:rPr>
        <w:t>、各项</w:t>
      </w:r>
      <w:r>
        <w:rPr>
          <w:rFonts w:hint="eastAsia" w:ascii="仿宋_GB2312" w:eastAsia="仿宋_GB2312"/>
          <w:sz w:val="32"/>
          <w:szCs w:val="32"/>
        </w:rPr>
        <w:t>决策</w:t>
      </w:r>
      <w:r>
        <w:rPr>
          <w:rFonts w:hint="eastAsia" w:ascii="仿宋_GB2312" w:eastAsia="仿宋_GB2312"/>
          <w:sz w:val="32"/>
          <w:szCs w:val="32"/>
          <w:lang w:eastAsia="zh-CN"/>
        </w:rPr>
        <w:t>及上级</w:t>
      </w:r>
      <w:r>
        <w:rPr>
          <w:rFonts w:hint="eastAsia" w:ascii="仿宋_GB2312" w:eastAsia="仿宋_GB2312"/>
          <w:sz w:val="32"/>
          <w:szCs w:val="32"/>
        </w:rPr>
        <w:t>领导</w:t>
      </w:r>
      <w:r>
        <w:rPr>
          <w:rFonts w:hint="eastAsia" w:ascii="仿宋_GB2312" w:eastAsia="仿宋_GB2312"/>
          <w:sz w:val="32"/>
          <w:szCs w:val="32"/>
          <w:lang w:eastAsia="zh-CN"/>
        </w:rPr>
        <w:t>交</w:t>
      </w:r>
      <w:r>
        <w:rPr>
          <w:rFonts w:hint="eastAsia" w:ascii="仿宋_GB2312" w:eastAsia="仿宋_GB2312"/>
          <w:sz w:val="32"/>
          <w:szCs w:val="32"/>
        </w:rPr>
        <w:t>办事项督办落实</w:t>
      </w:r>
      <w:r>
        <w:rPr>
          <w:rFonts w:hint="eastAsia" w:ascii="仿宋_GB2312" w:eastAsia="仿宋_GB2312"/>
          <w:sz w:val="32"/>
          <w:szCs w:val="32"/>
          <w:lang w:eastAsia="zh-CN"/>
        </w:rPr>
        <w:t>、</w:t>
      </w:r>
      <w:r>
        <w:rPr>
          <w:rFonts w:hint="eastAsia" w:ascii="仿宋_GB2312" w:eastAsia="仿宋_GB2312"/>
          <w:sz w:val="32"/>
          <w:szCs w:val="32"/>
        </w:rPr>
        <w:t>信息收集处理报送</w:t>
      </w:r>
      <w:r>
        <w:rPr>
          <w:rFonts w:hint="eastAsia" w:ascii="仿宋_GB2312" w:eastAsia="仿宋_GB2312"/>
          <w:sz w:val="32"/>
          <w:szCs w:val="32"/>
          <w:lang w:eastAsia="zh-CN"/>
        </w:rPr>
        <w:t>、</w:t>
      </w:r>
      <w:r>
        <w:rPr>
          <w:rFonts w:hint="eastAsia" w:ascii="仿宋_GB2312" w:eastAsia="仿宋_GB2312"/>
          <w:sz w:val="32"/>
          <w:szCs w:val="32"/>
        </w:rPr>
        <w:t>会议筹备组织服务</w:t>
      </w:r>
      <w:r>
        <w:rPr>
          <w:rFonts w:hint="eastAsia" w:ascii="仿宋_GB2312" w:eastAsia="仿宋_GB2312"/>
          <w:sz w:val="32"/>
          <w:szCs w:val="32"/>
          <w:lang w:eastAsia="zh-CN"/>
        </w:rPr>
        <w:t>、</w:t>
      </w:r>
      <w:r>
        <w:rPr>
          <w:rFonts w:hint="eastAsia" w:ascii="仿宋_GB2312" w:eastAsia="仿宋_GB2312"/>
          <w:sz w:val="32"/>
          <w:szCs w:val="32"/>
        </w:rPr>
        <w:t>安排</w:t>
      </w:r>
      <w:r>
        <w:rPr>
          <w:rFonts w:hint="eastAsia" w:ascii="仿宋_GB2312" w:eastAsia="仿宋_GB2312"/>
          <w:sz w:val="32"/>
          <w:szCs w:val="32"/>
          <w:lang w:eastAsia="zh-CN"/>
        </w:rPr>
        <w:t>协调领导</w:t>
      </w:r>
      <w:r>
        <w:rPr>
          <w:rFonts w:hint="eastAsia" w:ascii="仿宋_GB2312" w:eastAsia="仿宋_GB2312"/>
          <w:sz w:val="32"/>
          <w:szCs w:val="32"/>
        </w:rPr>
        <w:t>公务活动</w:t>
      </w:r>
      <w:r>
        <w:rPr>
          <w:rFonts w:hint="eastAsia" w:ascii="仿宋_GB2312" w:eastAsia="仿宋_GB2312"/>
          <w:sz w:val="32"/>
          <w:szCs w:val="32"/>
          <w:lang w:eastAsia="zh-CN"/>
        </w:rPr>
        <w:t>、</w:t>
      </w:r>
      <w:r>
        <w:rPr>
          <w:rFonts w:hint="eastAsia" w:ascii="仿宋_GB2312" w:eastAsia="仿宋_GB2312"/>
          <w:sz w:val="32"/>
          <w:szCs w:val="32"/>
        </w:rPr>
        <w:t>制定党内规范性文件</w:t>
      </w:r>
      <w:r>
        <w:rPr>
          <w:rFonts w:hint="eastAsia" w:ascii="仿宋_GB2312" w:eastAsia="仿宋_GB2312"/>
          <w:sz w:val="32"/>
          <w:szCs w:val="32"/>
          <w:lang w:eastAsia="zh-CN"/>
        </w:rPr>
        <w:t>、全区</w:t>
      </w:r>
      <w:r>
        <w:rPr>
          <w:rFonts w:hint="eastAsia" w:ascii="仿宋_GB2312" w:eastAsia="仿宋_GB2312"/>
          <w:sz w:val="32"/>
          <w:szCs w:val="32"/>
        </w:rPr>
        <w:t>信息化建设</w:t>
      </w:r>
      <w:r>
        <w:rPr>
          <w:rFonts w:hint="eastAsia" w:ascii="仿宋_GB2312" w:eastAsia="仿宋_GB2312"/>
          <w:sz w:val="32"/>
          <w:szCs w:val="32"/>
          <w:lang w:eastAsia="zh-CN"/>
        </w:rPr>
        <w:t>、全区</w:t>
      </w:r>
      <w:r>
        <w:rPr>
          <w:rFonts w:hint="eastAsia" w:ascii="仿宋_GB2312" w:eastAsia="仿宋_GB2312"/>
          <w:sz w:val="32"/>
          <w:szCs w:val="32"/>
        </w:rPr>
        <w:t>机要密码保密行政管理</w:t>
      </w:r>
      <w:r>
        <w:rPr>
          <w:rFonts w:hint="eastAsia" w:ascii="仿宋_GB2312" w:eastAsia="仿宋_GB2312"/>
          <w:sz w:val="32"/>
          <w:szCs w:val="32"/>
          <w:lang w:eastAsia="zh-CN"/>
        </w:rPr>
        <w:t>、</w:t>
      </w:r>
      <w:r>
        <w:rPr>
          <w:rFonts w:hint="eastAsia" w:ascii="仿宋_GB2312" w:eastAsia="仿宋_GB2312"/>
          <w:sz w:val="32"/>
          <w:szCs w:val="32"/>
        </w:rPr>
        <w:t>全区档案管理</w:t>
      </w:r>
      <w:r>
        <w:rPr>
          <w:rFonts w:hint="eastAsia" w:ascii="仿宋_GB2312" w:eastAsia="仿宋_GB2312"/>
          <w:sz w:val="32"/>
          <w:szCs w:val="32"/>
          <w:lang w:eastAsia="zh-CN"/>
        </w:rPr>
        <w:t>、</w:t>
      </w:r>
      <w:r>
        <w:rPr>
          <w:rFonts w:hint="eastAsia" w:ascii="仿宋_GB2312" w:eastAsia="仿宋_GB2312"/>
          <w:sz w:val="32"/>
          <w:szCs w:val="32"/>
        </w:rPr>
        <w:t>组织指导机关事务管理保障服务</w:t>
      </w:r>
      <w:r>
        <w:rPr>
          <w:rFonts w:hint="eastAsia" w:ascii="仿宋_GB2312" w:eastAsia="仿宋_GB2312"/>
          <w:sz w:val="32"/>
          <w:szCs w:val="32"/>
          <w:lang w:eastAsia="zh-CN"/>
        </w:rPr>
        <w:t>、</w:t>
      </w:r>
      <w:r>
        <w:rPr>
          <w:rFonts w:hint="eastAsia" w:ascii="仿宋_GB2312" w:eastAsia="仿宋_GB2312"/>
          <w:sz w:val="32"/>
          <w:szCs w:val="32"/>
        </w:rPr>
        <w:t>全区外事相关工作</w:t>
      </w:r>
      <w:r>
        <w:rPr>
          <w:rFonts w:hint="eastAsia" w:ascii="仿宋_GB2312" w:eastAsia="仿宋_GB2312"/>
          <w:sz w:val="32"/>
          <w:szCs w:val="32"/>
          <w:lang w:eastAsia="zh-CN"/>
        </w:rPr>
        <w:t>等</w:t>
      </w:r>
      <w:r>
        <w:rPr>
          <w:rFonts w:hint="eastAsia" w:ascii="仿宋_GB2312" w:eastAsia="仿宋_GB2312"/>
          <w:sz w:val="32"/>
          <w:szCs w:val="32"/>
        </w:rPr>
        <w:t>。</w:t>
      </w:r>
    </w:p>
    <w:p w14:paraId="70CF1DF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二、机构设置及人员情况</w:t>
      </w:r>
    </w:p>
    <w:p w14:paraId="0D463EF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乌鲁木齐经济技术开发区管理委员会（乌鲁木齐市头屯河区人民政府）办公室2024年度，实有人数68人，其中：在职人员66人，增加8人；离休人员0人，较上年无变化；退休人员2人，增加2人。</w:t>
      </w:r>
    </w:p>
    <w:p w14:paraId="4FE207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r>
        <w:rPr>
          <w:rFonts w:ascii="仿宋_GB2312" w:eastAsia="仿宋_GB2312"/>
          <w:b w:val="0"/>
          <w:sz w:val="32"/>
          <w:szCs w:val="32"/>
        </w:rPr>
        <w:t>乌鲁木齐经济技术开发区管理委员会（乌鲁木齐市头屯河区人民政府）办公室无下属预算单位，下设</w:t>
      </w:r>
      <w:r>
        <w:rPr>
          <w:rFonts w:hint="eastAsia" w:ascii="仿宋_GB2312" w:eastAsia="仿宋_GB2312"/>
          <w:color w:val="auto"/>
          <w:sz w:val="32"/>
          <w:szCs w:val="32"/>
          <w:highlight w:val="none"/>
          <w:lang w:val="en-US" w:eastAsia="zh-CN"/>
        </w:rPr>
        <w:t>11</w:t>
      </w:r>
      <w:r>
        <w:rPr>
          <w:rFonts w:hint="eastAsia" w:ascii="仿宋_GB2312" w:hAnsi="黑体" w:eastAsia="仿宋_GB2312" w:cs="宋体"/>
          <w:bCs/>
          <w:color w:val="auto"/>
          <w:kern w:val="0"/>
          <w:sz w:val="32"/>
          <w:szCs w:val="32"/>
          <w:highlight w:val="none"/>
        </w:rPr>
        <w:t>个处室</w:t>
      </w:r>
      <w:r>
        <w:rPr>
          <w:rFonts w:ascii="仿宋_GB2312" w:eastAsia="仿宋_GB2312"/>
          <w:b w:val="0"/>
          <w:sz w:val="32"/>
          <w:szCs w:val="32"/>
        </w:rPr>
        <w:t>，分别是：</w:t>
      </w:r>
      <w:r>
        <w:rPr>
          <w:rFonts w:hint="eastAsia" w:ascii="仿宋_GB2312" w:hAnsi="宋体" w:eastAsia="仿宋_GB2312" w:cs="宋体"/>
          <w:kern w:val="0"/>
          <w:sz w:val="32"/>
          <w:szCs w:val="32"/>
        </w:rPr>
        <w:t>区委办综合科、政府办综合科、区委办文秘科、政府办文秘科、机关事务管理中心、电子政务中心、机要保密科、党委信息技术中心、发展研究中心、档案馆、金融服务中心</w:t>
      </w:r>
      <w:r>
        <w:rPr>
          <w:rFonts w:ascii="仿宋_GB2312" w:eastAsia="仿宋_GB2312"/>
          <w:b w:val="0"/>
          <w:sz w:val="32"/>
          <w:szCs w:val="32"/>
        </w:rPr>
        <w:t>。</w:t>
      </w:r>
      <w:r>
        <w:rPr>
          <w:b w:val="0"/>
          <w:sz w:val="0"/>
          <w:szCs w:val="0"/>
        </w:rPr>
        <w:br w:type="page"/>
      </w:r>
    </w:p>
    <w:p w14:paraId="374DADD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32"/>
          <w:szCs w:val="32"/>
        </w:rPr>
      </w:pPr>
      <w:r>
        <w:rPr>
          <w:rFonts w:ascii="黑体" w:eastAsia="黑体"/>
          <w:b w:val="0"/>
          <w:sz w:val="32"/>
          <w:szCs w:val="32"/>
        </w:rPr>
        <w:t xml:space="preserve">第二部分 </w:t>
      </w:r>
      <w:r>
        <w:rPr>
          <w:rFonts w:hint="eastAsia" w:ascii="黑体" w:eastAsia="黑体"/>
          <w:b w:val="0"/>
          <w:sz w:val="32"/>
          <w:szCs w:val="32"/>
          <w:lang w:val="en-US" w:eastAsia="zh-CN"/>
        </w:rPr>
        <w:t>单位</w:t>
      </w:r>
      <w:r>
        <w:rPr>
          <w:rFonts w:ascii="黑体" w:eastAsia="黑体"/>
          <w:b w:val="0"/>
          <w:sz w:val="32"/>
          <w:szCs w:val="32"/>
        </w:rPr>
        <w:t>决算情况说明</w:t>
      </w:r>
    </w:p>
    <w:p w14:paraId="56A6B79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一、收入支出决算总体情况说明</w:t>
      </w:r>
    </w:p>
    <w:p w14:paraId="22704DD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2024年度收入总计9,771.75万元，其中：本年收入合计8,767.02万元，使用非财政拨款结余（含专用结余）0.00万元，年初结转和结余1,004.73万元。</w:t>
      </w:r>
    </w:p>
    <w:p w14:paraId="34E064A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2024年度支出总计9,771.75万元，其中：本年支出合计8,767.02万元，结余分配0.00万元，年末结转和结余1,004.73万元。</w:t>
      </w:r>
    </w:p>
    <w:p w14:paraId="7A111D8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收入支出总体与上年相比，增加7,017.94万元，增长254.84%，主要原因是：</w:t>
      </w:r>
      <w:r>
        <w:rPr>
          <w:rFonts w:hint="eastAsia" w:ascii="仿宋_GB2312" w:eastAsia="仿宋_GB2312"/>
          <w:b w:val="0"/>
          <w:sz w:val="32"/>
          <w:szCs w:val="32"/>
          <w:lang w:eastAsia="zh-CN"/>
        </w:rPr>
        <w:t>增加</w:t>
      </w:r>
      <w:r>
        <w:rPr>
          <w:rFonts w:hint="eastAsia" w:ascii="仿宋_GB2312" w:eastAsia="仿宋_GB2312"/>
          <w:b w:val="0"/>
          <w:sz w:val="32"/>
          <w:szCs w:val="32"/>
          <w:lang w:val="en-US" w:eastAsia="zh-CN"/>
        </w:rPr>
        <w:t>2024年度</w:t>
      </w:r>
      <w:r>
        <w:rPr>
          <w:rFonts w:hint="eastAsia" w:ascii="仿宋_GB2312" w:eastAsia="仿宋_GB2312"/>
          <w:b w:val="0"/>
          <w:sz w:val="32"/>
          <w:szCs w:val="32"/>
          <w:lang w:eastAsia="zh-CN"/>
        </w:rPr>
        <w:t>中央大气污染防治资金支出</w:t>
      </w:r>
      <w:r>
        <w:rPr>
          <w:rFonts w:ascii="仿宋_GB2312" w:eastAsia="仿宋_GB2312"/>
          <w:b w:val="0"/>
          <w:sz w:val="32"/>
          <w:szCs w:val="32"/>
        </w:rPr>
        <w:t>。</w:t>
      </w:r>
    </w:p>
    <w:p w14:paraId="4FDA4F6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二、收入决算情况说明</w:t>
      </w:r>
    </w:p>
    <w:p w14:paraId="1B3E9BF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本年收入8,767.02万元，其中：财政拨款收入8,767.02万元,占100.00%；上级补助收入0.00万元,占0.00%；事业收入0.00万元，占0.00%；经营收入0.00万元,占0.00%；附属单位上缴收入0.00万元，占0.00%；其他收入0.00万元，占0.00%。</w:t>
      </w:r>
    </w:p>
    <w:p w14:paraId="6758ECE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三、支出决算情况说明</w:t>
      </w:r>
    </w:p>
    <w:p w14:paraId="12FFAA9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本年支出8,767.02万元，其中：基本支出1,270.42万元，占14.49%；项目支出7,496.60万元，占85.51%；上缴上级支出0.00万元，占0.00%；经营支出0.00万元，占0.00%；对附属单位补助支出0.00万元，占0.00%。</w:t>
      </w:r>
    </w:p>
    <w:p w14:paraId="4D8BB4E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四、财政拨款收入支出决算总体情况说明</w:t>
      </w:r>
    </w:p>
    <w:p w14:paraId="4906CED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财政拨款收入总计9,767.02万元，其中：年初财政拨款结转和结余1,000.00万元，本年财政拨款收入8,767.02万元。财政拨款支出总计9,767.02万元，其中：年末财政拨款结转和结余1,000.00万元，本年财政拨款支出8,767.02万元。</w:t>
      </w:r>
    </w:p>
    <w:p w14:paraId="451C089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财政拨款收入支出总体与上年相比，增加7,017.68万元，增长255.25%，主要原因是：</w:t>
      </w:r>
      <w:r>
        <w:rPr>
          <w:rFonts w:hint="eastAsia" w:ascii="仿宋_GB2312" w:eastAsia="仿宋_GB2312"/>
          <w:b w:val="0"/>
          <w:sz w:val="32"/>
          <w:szCs w:val="32"/>
          <w:lang w:eastAsia="zh-CN"/>
        </w:rPr>
        <w:t>增加</w:t>
      </w:r>
      <w:r>
        <w:rPr>
          <w:rFonts w:hint="eastAsia" w:ascii="仿宋_GB2312" w:eastAsia="仿宋_GB2312"/>
          <w:b w:val="0"/>
          <w:sz w:val="32"/>
          <w:szCs w:val="32"/>
          <w:lang w:val="en-US" w:eastAsia="zh-CN"/>
        </w:rPr>
        <w:t>2023、2024年度</w:t>
      </w:r>
      <w:r>
        <w:rPr>
          <w:rFonts w:hint="eastAsia" w:ascii="仿宋_GB2312" w:eastAsia="仿宋_GB2312"/>
          <w:b w:val="0"/>
          <w:sz w:val="32"/>
          <w:szCs w:val="32"/>
          <w:lang w:eastAsia="zh-CN"/>
        </w:rPr>
        <w:t>中央大气污染防治资金</w:t>
      </w:r>
      <w:r>
        <w:rPr>
          <w:rFonts w:ascii="仿宋_GB2312" w:eastAsia="仿宋_GB2312"/>
          <w:b w:val="0"/>
          <w:sz w:val="32"/>
          <w:szCs w:val="32"/>
        </w:rPr>
        <w:t>。与年初预算相比，年初预算数14,908.07万元，决算数9,767.02万元，预决算差异率-34.49%，主要原因是：</w:t>
      </w:r>
      <w:r>
        <w:rPr>
          <w:rFonts w:hint="eastAsia" w:ascii="仿宋_GB2312" w:eastAsia="仿宋_GB2312"/>
          <w:b w:val="0"/>
          <w:sz w:val="32"/>
          <w:szCs w:val="32"/>
          <w:lang w:eastAsia="zh-CN"/>
        </w:rPr>
        <w:t>部分</w:t>
      </w:r>
      <w:r>
        <w:rPr>
          <w:rFonts w:hint="eastAsia" w:ascii="仿宋_GB2312" w:eastAsia="仿宋_GB2312"/>
          <w:b w:val="0"/>
          <w:sz w:val="32"/>
          <w:szCs w:val="32"/>
          <w:lang w:val="en-US" w:eastAsia="zh-CN"/>
        </w:rPr>
        <w:t>2022年度</w:t>
      </w:r>
      <w:r>
        <w:rPr>
          <w:rFonts w:hint="eastAsia" w:ascii="仿宋_GB2312" w:eastAsia="仿宋_GB2312"/>
          <w:b w:val="0"/>
          <w:sz w:val="32"/>
          <w:szCs w:val="32"/>
          <w:lang w:eastAsia="zh-CN"/>
        </w:rPr>
        <w:t>中央大气污染防治资金未支付</w:t>
      </w:r>
      <w:r>
        <w:rPr>
          <w:rFonts w:ascii="仿宋_GB2312" w:eastAsia="仿宋_GB2312"/>
          <w:b w:val="0"/>
          <w:sz w:val="32"/>
          <w:szCs w:val="32"/>
        </w:rPr>
        <w:t>。</w:t>
      </w:r>
    </w:p>
    <w:p w14:paraId="1DEA196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五、一般公共预算财政拨款支出决算情况说明</w:t>
      </w:r>
    </w:p>
    <w:p w14:paraId="78C7503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（一）一般公共预算财政拨款支出决算总体情况</w:t>
      </w:r>
    </w:p>
    <w:p w14:paraId="6A06388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2024年度一般公共预算财政拨款支出8,767.02万元，占本年支出合计的100.00%。与上年相比，增加7,020.14万元，增长401.87%，主要原因是：</w:t>
      </w:r>
      <w:r>
        <w:rPr>
          <w:rFonts w:hint="eastAsia" w:ascii="仿宋_GB2312" w:eastAsia="仿宋_GB2312"/>
          <w:b w:val="0"/>
          <w:sz w:val="32"/>
          <w:szCs w:val="32"/>
          <w:lang w:eastAsia="zh-CN"/>
        </w:rPr>
        <w:t>增加</w:t>
      </w:r>
      <w:r>
        <w:rPr>
          <w:rFonts w:hint="eastAsia" w:ascii="仿宋_GB2312" w:eastAsia="仿宋_GB2312"/>
          <w:b w:val="0"/>
          <w:sz w:val="32"/>
          <w:szCs w:val="32"/>
          <w:lang w:val="en-US" w:eastAsia="zh-CN"/>
        </w:rPr>
        <w:t>2023、2024年度</w:t>
      </w:r>
      <w:r>
        <w:rPr>
          <w:rFonts w:hint="eastAsia" w:ascii="仿宋_GB2312" w:eastAsia="仿宋_GB2312"/>
          <w:b w:val="0"/>
          <w:sz w:val="32"/>
          <w:szCs w:val="32"/>
          <w:lang w:eastAsia="zh-CN"/>
        </w:rPr>
        <w:t>中央大气污染防治资金</w:t>
      </w:r>
      <w:r>
        <w:rPr>
          <w:rFonts w:ascii="仿宋_GB2312" w:eastAsia="仿宋_GB2312"/>
          <w:b w:val="0"/>
          <w:sz w:val="32"/>
          <w:szCs w:val="32"/>
        </w:rPr>
        <w:t>。与年初预算相比，年初预算数14,908.07万元，决算数8,767.02万元，预决算差异率-41.19%，主要原因是：</w:t>
      </w:r>
      <w:r>
        <w:rPr>
          <w:rFonts w:hint="eastAsia" w:ascii="仿宋_GB2312" w:eastAsia="仿宋_GB2312"/>
          <w:b w:val="0"/>
          <w:sz w:val="32"/>
          <w:szCs w:val="32"/>
          <w:lang w:eastAsia="zh-CN"/>
        </w:rPr>
        <w:t>部分</w:t>
      </w:r>
      <w:r>
        <w:rPr>
          <w:rFonts w:hint="eastAsia" w:ascii="仿宋_GB2312" w:eastAsia="仿宋_GB2312"/>
          <w:b w:val="0"/>
          <w:sz w:val="32"/>
          <w:szCs w:val="32"/>
          <w:lang w:val="en-US" w:eastAsia="zh-CN"/>
        </w:rPr>
        <w:t>2022年度</w:t>
      </w:r>
      <w:r>
        <w:rPr>
          <w:rFonts w:hint="eastAsia" w:ascii="仿宋_GB2312" w:eastAsia="仿宋_GB2312"/>
          <w:b w:val="0"/>
          <w:sz w:val="32"/>
          <w:szCs w:val="32"/>
          <w:lang w:eastAsia="zh-CN"/>
        </w:rPr>
        <w:t>中央大气污染防治资金未支付</w:t>
      </w:r>
      <w:r>
        <w:rPr>
          <w:rFonts w:ascii="仿宋_GB2312" w:eastAsia="仿宋_GB2312"/>
          <w:b w:val="0"/>
          <w:sz w:val="32"/>
          <w:szCs w:val="32"/>
        </w:rPr>
        <w:t>。</w:t>
      </w:r>
    </w:p>
    <w:p w14:paraId="0409F78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（二）一般公共预算财政拨款支出决算结构情况</w:t>
      </w:r>
    </w:p>
    <w:p w14:paraId="7B9A455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一般公共服务支出（类）1,130.12万元，占12.89%。</w:t>
      </w:r>
    </w:p>
    <w:p w14:paraId="5CEBE37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科学技术支出（类）33.78万元，占0.39%。</w:t>
      </w:r>
    </w:p>
    <w:p w14:paraId="46F5A29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社会保障和就业支出（类）140.30万元，占1.60%。</w:t>
      </w:r>
    </w:p>
    <w:p w14:paraId="3AC2757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节能环保支出（类）6,000.00万元，占68.44%。</w:t>
      </w:r>
    </w:p>
    <w:p w14:paraId="539321C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农林水支出（类）1,462.83万元，占16.6</w:t>
      </w:r>
      <w:r>
        <w:rPr>
          <w:rFonts w:hint="eastAsia" w:ascii="仿宋_GB2312" w:eastAsia="仿宋_GB2312"/>
          <w:b w:val="0"/>
          <w:sz w:val="32"/>
          <w:szCs w:val="32"/>
          <w:lang w:val="en-US" w:eastAsia="zh-CN"/>
        </w:rPr>
        <w:t>8</w:t>
      </w:r>
      <w:r>
        <w:rPr>
          <w:rFonts w:ascii="仿宋_GB2312" w:eastAsia="仿宋_GB2312"/>
          <w:b w:val="0"/>
          <w:sz w:val="32"/>
          <w:szCs w:val="32"/>
        </w:rPr>
        <w:t>%。</w:t>
      </w:r>
    </w:p>
    <w:p w14:paraId="08F5132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（三）一般公共预算财政拨款支出决算具体情况</w:t>
      </w:r>
    </w:p>
    <w:p w14:paraId="56594735">
      <w:pPr>
        <w:pStyle w:val="2"/>
        <w:keepNext w:val="0"/>
        <w:keepLines w:val="0"/>
        <w:pageBreakBefore w:val="0"/>
        <w:kinsoku/>
        <w:wordWrap/>
        <w:overflowPunct/>
        <w:topLinePunct w:val="0"/>
        <w:autoSpaceDE/>
        <w:autoSpaceDN/>
        <w:bidi w:val="0"/>
        <w:adjustRightInd/>
        <w:spacing w:line="560" w:lineRule="exact"/>
        <w:ind w:firstLine="640" w:firstLineChars="200"/>
        <w:rPr>
          <w:rFonts w:ascii="仿宋_GB2312" w:eastAsia="仿宋_GB2312"/>
          <w:sz w:val="32"/>
          <w:szCs w:val="32"/>
        </w:rPr>
      </w:pPr>
      <w:r>
        <w:rPr>
          <w:rFonts w:ascii="仿宋_GB2312" w:eastAsia="仿宋_GB2312"/>
          <w:b w:val="0"/>
          <w:sz w:val="32"/>
          <w:szCs w:val="32"/>
        </w:rPr>
        <w:t>1、一般公共服务支出（类）政府办公厅（室）及相关机构事务（款）行政运行（项）：支出决算数为641.29万元，比上年决算增加57.60万元，增长9.87%，主要原因是：</w:t>
      </w:r>
      <w:r>
        <w:rPr>
          <w:rFonts w:hint="eastAsia" w:ascii="仿宋_GB2312" w:hAnsi="仿宋_GB2312" w:eastAsia="仿宋_GB2312" w:cs="仿宋_GB2312"/>
          <w:color w:val="auto"/>
          <w:kern w:val="0"/>
          <w:sz w:val="32"/>
          <w:szCs w:val="32"/>
          <w:highlight w:val="none"/>
          <w:lang w:val="en-US" w:eastAsia="zh-CN"/>
        </w:rPr>
        <w:t>2024年增加8人，人员经费及公用经费增加。</w:t>
      </w:r>
    </w:p>
    <w:p w14:paraId="58D3F5D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eastAsia" w:ascii="仿宋_GB2312" w:eastAsia="仿宋_GB2312"/>
          <w:sz w:val="32"/>
          <w:szCs w:val="32"/>
          <w:lang w:eastAsia="zh-CN"/>
        </w:rPr>
      </w:pPr>
      <w:r>
        <w:rPr>
          <w:rFonts w:ascii="仿宋_GB2312" w:eastAsia="仿宋_GB2312"/>
          <w:b w:val="0"/>
          <w:sz w:val="32"/>
          <w:szCs w:val="32"/>
        </w:rPr>
        <w:t>2、一般公共服务支出（类）政府办公厅（室）及相关机构事务（款）一般行政管理事务（项）：支出决算数为0.00万元，比上年决算减少0.87万元，下降100.00%，主要原因是：</w:t>
      </w:r>
      <w:r>
        <w:rPr>
          <w:rFonts w:hint="eastAsia" w:ascii="仿宋_GB2312" w:eastAsia="仿宋_GB2312"/>
          <w:b w:val="0"/>
          <w:sz w:val="32"/>
          <w:szCs w:val="32"/>
          <w:lang w:eastAsia="zh-CN"/>
        </w:rPr>
        <w:t>合</w:t>
      </w:r>
      <w:r>
        <w:rPr>
          <w:rFonts w:hint="eastAsia" w:ascii="仿宋_GB2312" w:hAnsi="仿宋_GB2312" w:eastAsia="仿宋_GB2312" w:cs="仿宋_GB2312"/>
          <w:color w:val="auto"/>
          <w:kern w:val="2"/>
          <w:sz w:val="32"/>
          <w:szCs w:val="32"/>
          <w:highlight w:val="none"/>
          <w:lang w:val="en-US" w:eastAsia="zh-CN" w:bidi="ar-SA"/>
        </w:rPr>
        <w:t>厉行节约办公经费支出下降</w:t>
      </w:r>
      <w:r>
        <w:rPr>
          <w:rFonts w:hint="eastAsia" w:ascii="仿宋_GB2312" w:eastAsia="仿宋_GB2312"/>
          <w:b w:val="0"/>
          <w:sz w:val="32"/>
          <w:szCs w:val="32"/>
          <w:lang w:eastAsia="zh-CN"/>
        </w:rPr>
        <w:t>。</w:t>
      </w:r>
    </w:p>
    <w:p w14:paraId="0CA85C87">
      <w:pPr>
        <w:pStyle w:val="2"/>
        <w:keepNext w:val="0"/>
        <w:keepLines w:val="0"/>
        <w:pageBreakBefore w:val="0"/>
        <w:kinsoku/>
        <w:wordWrap/>
        <w:overflowPunct/>
        <w:topLinePunct w:val="0"/>
        <w:autoSpaceDE/>
        <w:autoSpaceDN/>
        <w:bidi w:val="0"/>
        <w:adjustRightInd/>
        <w:spacing w:line="560" w:lineRule="exact"/>
        <w:ind w:firstLine="640" w:firstLineChars="200"/>
        <w:rPr>
          <w:rFonts w:ascii="仿宋_GB2312" w:eastAsia="仿宋_GB2312"/>
          <w:sz w:val="32"/>
          <w:szCs w:val="32"/>
        </w:rPr>
      </w:pPr>
      <w:r>
        <w:rPr>
          <w:rFonts w:ascii="仿宋_GB2312" w:eastAsia="仿宋_GB2312"/>
          <w:b w:val="0"/>
          <w:sz w:val="32"/>
          <w:szCs w:val="32"/>
        </w:rPr>
        <w:t>3、一般公共服务支出（类）政府办公厅（室）及相关机构事务（款）事业运行（项）：支出决算数为488.83万元，比上年决算增加37.18万元，增长8.23%，主要原因是：</w:t>
      </w:r>
      <w:r>
        <w:rPr>
          <w:rFonts w:hint="eastAsia" w:ascii="仿宋_GB2312" w:hAnsi="仿宋_GB2312" w:eastAsia="仿宋_GB2312" w:cs="仿宋_GB2312"/>
          <w:color w:val="auto"/>
          <w:kern w:val="0"/>
          <w:sz w:val="32"/>
          <w:szCs w:val="32"/>
          <w:highlight w:val="none"/>
          <w:lang w:val="en-US" w:eastAsia="zh-CN"/>
        </w:rPr>
        <w:t>2024年增加8人，人员经费及公用经费增加。</w:t>
      </w:r>
    </w:p>
    <w:p w14:paraId="363F70E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eastAsia" w:ascii="仿宋_GB2312" w:eastAsia="仿宋_GB2312"/>
          <w:sz w:val="32"/>
          <w:szCs w:val="32"/>
          <w:lang w:eastAsia="zh-CN"/>
        </w:rPr>
      </w:pPr>
      <w:r>
        <w:rPr>
          <w:rFonts w:ascii="仿宋_GB2312" w:eastAsia="仿宋_GB2312"/>
          <w:b w:val="0"/>
          <w:sz w:val="32"/>
          <w:szCs w:val="32"/>
        </w:rPr>
        <w:t>4、科学技术支出（类）科技条件与服务（款）技术创新服务体系（项）：支出决算数为32.16万元，比上年决算增加14.11万元，增长78.17%，主要原因是：</w:t>
      </w:r>
      <w:r>
        <w:rPr>
          <w:rFonts w:hint="eastAsia" w:ascii="仿宋_GB2312" w:eastAsia="仿宋_GB2312"/>
          <w:b w:val="0"/>
          <w:sz w:val="32"/>
          <w:szCs w:val="32"/>
          <w:lang w:val="en-US" w:eastAsia="zh-CN"/>
        </w:rPr>
        <w:t>2024年</w:t>
      </w:r>
      <w:r>
        <w:rPr>
          <w:rFonts w:hint="eastAsia" w:ascii="仿宋_GB2312" w:eastAsia="仿宋_GB2312"/>
          <w:b w:val="0"/>
          <w:sz w:val="32"/>
          <w:szCs w:val="32"/>
          <w:lang w:eastAsia="zh-CN"/>
        </w:rPr>
        <w:t>新增电子政务门户网站改造项目。</w:t>
      </w:r>
    </w:p>
    <w:p w14:paraId="6A82105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default" w:ascii="仿宋_GB2312" w:eastAsia="仿宋_GB2312"/>
          <w:sz w:val="32"/>
          <w:szCs w:val="32"/>
          <w:lang w:val="en-US" w:eastAsia="zh-CN"/>
        </w:rPr>
      </w:pPr>
      <w:r>
        <w:rPr>
          <w:rFonts w:ascii="仿宋_GB2312" w:eastAsia="仿宋_GB2312"/>
          <w:b w:val="0"/>
          <w:sz w:val="32"/>
          <w:szCs w:val="32"/>
        </w:rPr>
        <w:t>5、科学技术支出（类）科技条件与服务（款）科技条件专项（项）：支出决算数为1.62万元，比上年决算增加1.62万元，增长100.00%，主要原因是：</w:t>
      </w:r>
      <w:r>
        <w:rPr>
          <w:rFonts w:hint="eastAsia" w:ascii="仿宋_GB2312" w:eastAsia="仿宋_GB2312"/>
          <w:b w:val="0"/>
          <w:sz w:val="32"/>
          <w:szCs w:val="32"/>
          <w:lang w:val="en-US" w:eastAsia="zh-CN"/>
        </w:rPr>
        <w:t>2024年电子政务购置专用电脑等设备经费。</w:t>
      </w:r>
    </w:p>
    <w:p w14:paraId="3C1F293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default" w:ascii="仿宋_GB2312" w:eastAsia="仿宋_GB2312"/>
          <w:sz w:val="32"/>
          <w:szCs w:val="32"/>
          <w:lang w:val="en-US" w:eastAsia="zh-CN"/>
        </w:rPr>
      </w:pPr>
      <w:r>
        <w:rPr>
          <w:rFonts w:ascii="仿宋_GB2312" w:eastAsia="仿宋_GB2312"/>
          <w:b w:val="0"/>
          <w:sz w:val="32"/>
          <w:szCs w:val="32"/>
        </w:rPr>
        <w:t>6、社会保障和就业支出（类）民政管理事务（款）基层政权建设和社区治理（项）：支出决算数为0.00万元，比上年决算减少2.99万元，下降100.00%，主要原因是：</w:t>
      </w:r>
      <w:r>
        <w:rPr>
          <w:rFonts w:hint="eastAsia" w:ascii="仿宋_GB2312" w:eastAsia="仿宋_GB2312"/>
          <w:b w:val="0"/>
          <w:sz w:val="32"/>
          <w:szCs w:val="32"/>
          <w:lang w:val="en-US" w:eastAsia="zh-CN"/>
        </w:rPr>
        <w:t>2024年未支付帮扶社区工作队相关经费。</w:t>
      </w:r>
    </w:p>
    <w:p w14:paraId="0B35940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ascii="仿宋_GB2312" w:eastAsia="仿宋_GB2312"/>
          <w:sz w:val="32"/>
          <w:szCs w:val="32"/>
        </w:rPr>
      </w:pPr>
      <w:r>
        <w:rPr>
          <w:rFonts w:ascii="仿宋_GB2312" w:eastAsia="仿宋_GB2312"/>
          <w:b w:val="0"/>
          <w:sz w:val="32"/>
          <w:szCs w:val="32"/>
        </w:rPr>
        <w:t>7、社会保障和就业支出（类）行政事业单位养老支出（款）行政单位离退休（项）：支出决算数为1.00万元，比上年决算增加1.00万元，增长100.00%，主要原因是：</w:t>
      </w:r>
      <w:r>
        <w:rPr>
          <w:rFonts w:hint="eastAsia" w:ascii="仿宋_GB2312" w:eastAsia="仿宋_GB2312"/>
          <w:b w:val="0"/>
          <w:sz w:val="32"/>
          <w:szCs w:val="32"/>
          <w:lang w:val="en-US" w:eastAsia="zh-CN"/>
        </w:rPr>
        <w:t>2024年起由各单位负责退休人员绩效考核奖及采暖补贴等支出。</w:t>
      </w:r>
    </w:p>
    <w:p w14:paraId="0CB61736">
      <w:pPr>
        <w:pStyle w:val="2"/>
        <w:keepNext w:val="0"/>
        <w:keepLines w:val="0"/>
        <w:pageBreakBefore w:val="0"/>
        <w:kinsoku/>
        <w:wordWrap/>
        <w:overflowPunct/>
        <w:topLinePunct w:val="0"/>
        <w:autoSpaceDE/>
        <w:autoSpaceDN/>
        <w:bidi w:val="0"/>
        <w:adjustRightInd/>
        <w:spacing w:line="560" w:lineRule="exact"/>
        <w:ind w:firstLine="640" w:firstLineChars="200"/>
        <w:rPr>
          <w:rFonts w:ascii="仿宋_GB2312" w:eastAsia="仿宋_GB2312"/>
          <w:sz w:val="32"/>
          <w:szCs w:val="32"/>
        </w:rPr>
      </w:pPr>
      <w:r>
        <w:rPr>
          <w:rFonts w:ascii="仿宋_GB2312" w:eastAsia="仿宋_GB2312"/>
          <w:b w:val="0"/>
          <w:sz w:val="32"/>
          <w:szCs w:val="32"/>
        </w:rPr>
        <w:t>8、社会保障和就业支出（类）行政事业单位养老支出（款）机关事业单位基本养老保险缴费支出（项）：支出决算数为118.78万元，比上年决算增加14.61万元，增长14.03%，主要原因是：</w:t>
      </w:r>
      <w:r>
        <w:rPr>
          <w:rFonts w:hint="eastAsia" w:ascii="仿宋_GB2312" w:hAnsi="仿宋_GB2312" w:eastAsia="仿宋_GB2312" w:cs="仿宋_GB2312"/>
          <w:color w:val="auto"/>
          <w:kern w:val="0"/>
          <w:sz w:val="32"/>
          <w:szCs w:val="32"/>
          <w:highlight w:val="none"/>
          <w:lang w:val="en-US" w:eastAsia="zh-CN"/>
        </w:rPr>
        <w:t>2024年增加8人，人员经费及公用经费增加。</w:t>
      </w:r>
    </w:p>
    <w:p w14:paraId="18713A9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ascii="仿宋_GB2312" w:eastAsia="仿宋_GB2312"/>
          <w:sz w:val="32"/>
          <w:szCs w:val="32"/>
        </w:rPr>
      </w:pPr>
      <w:r>
        <w:rPr>
          <w:rFonts w:ascii="仿宋_GB2312" w:eastAsia="仿宋_GB2312"/>
          <w:b w:val="0"/>
          <w:sz w:val="32"/>
          <w:szCs w:val="32"/>
        </w:rPr>
        <w:t>9、社会保障和就业支出（类）行政事业单位养老支出（款）机关事业单位职业年金缴费支出（项）：支出决算数为20.52万元，比上年决算减少4.44万元，下降17.79%，主要原因是：</w:t>
      </w:r>
      <w:r>
        <w:rPr>
          <w:rFonts w:hint="eastAsia" w:ascii="仿宋_GB2312" w:eastAsia="仿宋_GB2312"/>
          <w:b w:val="0"/>
          <w:sz w:val="32"/>
          <w:szCs w:val="32"/>
          <w:lang w:val="en-US" w:eastAsia="zh-CN"/>
        </w:rPr>
        <w:t>2024年退休、调离人员较上年减少。</w:t>
      </w:r>
    </w:p>
    <w:p w14:paraId="3AC9EEE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ascii="仿宋_GB2312" w:eastAsia="仿宋_GB2312"/>
          <w:sz w:val="32"/>
          <w:szCs w:val="32"/>
        </w:rPr>
      </w:pPr>
      <w:r>
        <w:rPr>
          <w:rFonts w:ascii="仿宋_GB2312" w:eastAsia="仿宋_GB2312"/>
          <w:b w:val="0"/>
          <w:sz w:val="32"/>
          <w:szCs w:val="32"/>
        </w:rPr>
        <w:t>10、节能环保支出（类）污染防治（款）大气（项）：支出决算数为6,000.00万元，比上年决算增加6,000.00万元，增长100.00%，主要原因是：</w:t>
      </w:r>
      <w:r>
        <w:rPr>
          <w:rFonts w:hint="eastAsia" w:ascii="仿宋_GB2312" w:eastAsia="仿宋_GB2312"/>
          <w:b w:val="0"/>
          <w:sz w:val="32"/>
          <w:szCs w:val="32"/>
          <w:lang w:val="en-US" w:eastAsia="zh-CN"/>
        </w:rPr>
        <w:t>2023、2024年度</w:t>
      </w:r>
      <w:r>
        <w:rPr>
          <w:rFonts w:hint="eastAsia" w:ascii="仿宋_GB2312" w:eastAsia="仿宋_GB2312"/>
          <w:b w:val="0"/>
          <w:sz w:val="32"/>
          <w:szCs w:val="32"/>
          <w:lang w:eastAsia="zh-CN"/>
        </w:rPr>
        <w:t>中央大气污染防治资金</w:t>
      </w:r>
      <w:r>
        <w:rPr>
          <w:rFonts w:ascii="仿宋_GB2312" w:eastAsia="仿宋_GB2312"/>
          <w:b w:val="0"/>
          <w:sz w:val="32"/>
          <w:szCs w:val="32"/>
        </w:rPr>
        <w:t>。</w:t>
      </w:r>
    </w:p>
    <w:p w14:paraId="4AF2CFA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default" w:ascii="仿宋_GB2312" w:eastAsia="仿宋_GB2312"/>
          <w:sz w:val="32"/>
          <w:szCs w:val="32"/>
          <w:lang w:val="en-US" w:eastAsia="zh-CN"/>
        </w:rPr>
      </w:pPr>
      <w:r>
        <w:rPr>
          <w:rFonts w:ascii="仿宋_GB2312" w:eastAsia="仿宋_GB2312"/>
          <w:b w:val="0"/>
          <w:sz w:val="32"/>
          <w:szCs w:val="32"/>
        </w:rPr>
        <w:t>11、农林水支出（类）普惠金融发展支出（款）其他普惠金融发展支出（项）：支出决算数为1,462.83万元，比上年决算增加902.33万元，增长160.99%，主要原因是：</w:t>
      </w:r>
      <w:r>
        <w:rPr>
          <w:rFonts w:hint="eastAsia" w:ascii="仿宋_GB2312" w:eastAsia="仿宋_GB2312"/>
          <w:b w:val="0"/>
          <w:sz w:val="32"/>
          <w:szCs w:val="32"/>
          <w:lang w:val="en-US" w:eastAsia="zh-CN"/>
        </w:rPr>
        <w:t>2024年支付普惠金融发展示范区奖补资金。</w:t>
      </w:r>
    </w:p>
    <w:p w14:paraId="39CC812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六、一般公共预算财政拨款基本支出决算情况说明</w:t>
      </w:r>
    </w:p>
    <w:p w14:paraId="430FC78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一般公共预算财政拨款基本支出1,270.42万元，其中：人员经费1,203.60万元，包括：基本工资、津贴补贴、奖金、绩效工资、机关事业单位基本养老保险缴费、职业年金缴费、职工基本医疗保险缴费、公务员医疗补助缴费、其他社会保障缴费、住房公积金、退休费、生活补助和奖励金。</w:t>
      </w:r>
    </w:p>
    <w:p w14:paraId="5CC54CF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公用经费66.82万元，包括：办公费、邮电费、差旅费、维修（护）费、会议费、培训费、公务接待费、委托业务费、工会经费、福利费、其他交通费用和办公设备购置。</w:t>
      </w:r>
    </w:p>
    <w:p w14:paraId="1629AF1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七、政府性基金预算财政拨款收入支出决算情况说明</w:t>
      </w:r>
    </w:p>
    <w:p w14:paraId="7B62222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本</w:t>
      </w:r>
      <w:r>
        <w:rPr>
          <w:rFonts w:hint="eastAsia" w:ascii="仿宋_GB2312" w:eastAsia="仿宋_GB2312"/>
          <w:b w:val="0"/>
          <w:sz w:val="32"/>
          <w:szCs w:val="32"/>
          <w:lang w:val="en-US" w:eastAsia="zh-CN"/>
        </w:rPr>
        <w:t>单位</w:t>
      </w:r>
      <w:r>
        <w:rPr>
          <w:rFonts w:ascii="仿宋_GB2312" w:eastAsia="仿宋_GB2312"/>
          <w:b w:val="0"/>
          <w:sz w:val="32"/>
          <w:szCs w:val="32"/>
        </w:rPr>
        <w:t>本年度无政府性基金预算财政拨款收入、支出及结转和结余，政府性基金预算财政拨款收入支出决算表为空表。</w:t>
      </w:r>
    </w:p>
    <w:p w14:paraId="1CA6250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八、国有资本经营预算财政拨款收入支出决算情况说明</w:t>
      </w:r>
    </w:p>
    <w:p w14:paraId="778A6FC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本</w:t>
      </w:r>
      <w:r>
        <w:rPr>
          <w:rFonts w:hint="eastAsia" w:ascii="仿宋_GB2312" w:eastAsia="仿宋_GB2312"/>
          <w:b w:val="0"/>
          <w:sz w:val="32"/>
          <w:szCs w:val="32"/>
          <w:lang w:val="en-US" w:eastAsia="zh-CN"/>
        </w:rPr>
        <w:t>单位</w:t>
      </w:r>
      <w:r>
        <w:rPr>
          <w:rFonts w:ascii="仿宋_GB2312" w:eastAsia="仿宋_GB2312"/>
          <w:b w:val="0"/>
          <w:sz w:val="32"/>
          <w:szCs w:val="32"/>
        </w:rPr>
        <w:t>本年度无国有资本经营预算财政拨款收入、支出及结转和结余，国有资本经营预算财政拨款收入支出决算表为空表。</w:t>
      </w:r>
    </w:p>
    <w:p w14:paraId="7C52C3A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九、财政拨款“三公”经费支出决算情况说明</w:t>
      </w:r>
    </w:p>
    <w:p w14:paraId="49E5759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2024年度财政拨款“三公”经费支出0.52万元，比上年减少2.28万元，下降81.43%，主要原因是：</w:t>
      </w:r>
      <w:r>
        <w:rPr>
          <w:rFonts w:hint="eastAsia" w:ascii="仿宋_GB2312" w:hAnsi="仿宋_GB2312" w:eastAsia="仿宋_GB2312" w:cs="仿宋_GB2312"/>
          <w:color w:val="auto"/>
          <w:kern w:val="2"/>
          <w:sz w:val="32"/>
          <w:szCs w:val="32"/>
          <w:highlight w:val="none"/>
          <w:lang w:val="en-US" w:eastAsia="zh-CN" w:bidi="ar-SA"/>
        </w:rPr>
        <w:t>厉行节约公务接待费支出下降</w:t>
      </w:r>
      <w:r>
        <w:rPr>
          <w:rFonts w:ascii="仿宋_GB2312" w:eastAsia="仿宋_GB2312"/>
          <w:b w:val="0"/>
          <w:sz w:val="32"/>
          <w:szCs w:val="32"/>
        </w:rPr>
        <w:t>。其中：因公出国（境）费支出0.00万元,占0.00%，比上年减少2.60万元，下降100%，主要原因是：</w:t>
      </w:r>
      <w:r>
        <w:rPr>
          <w:rFonts w:hint="eastAsia" w:ascii="仿宋_GB2312" w:eastAsia="仿宋_GB2312"/>
          <w:b w:val="0"/>
          <w:sz w:val="32"/>
          <w:szCs w:val="32"/>
          <w:lang w:val="en-US" w:eastAsia="zh-CN"/>
        </w:rPr>
        <w:t>2024年未产生</w:t>
      </w:r>
      <w:r>
        <w:rPr>
          <w:rFonts w:ascii="仿宋_GB2312" w:eastAsia="仿宋_GB2312"/>
          <w:b w:val="0"/>
          <w:sz w:val="32"/>
          <w:szCs w:val="32"/>
        </w:rPr>
        <w:t>因公出国（境）支出；公务用车购置及运行维护费支出0.00万元，占0.00%，与上年相比无变化，主要原因是：</w:t>
      </w:r>
      <w:r>
        <w:rPr>
          <w:rFonts w:hint="eastAsia" w:ascii="仿宋_GB2312" w:hAnsi="宋体" w:eastAsia="仿宋_GB2312" w:cs="宋体"/>
          <w:color w:val="auto"/>
          <w:kern w:val="0"/>
          <w:sz w:val="32"/>
          <w:szCs w:val="32"/>
          <w:highlight w:val="none"/>
          <w:lang w:val="en-US" w:eastAsia="zh-CN"/>
        </w:rPr>
        <w:t>2023年与2024年</w:t>
      </w:r>
      <w:r>
        <w:rPr>
          <w:rFonts w:hint="eastAsia" w:ascii="仿宋_GB2312" w:hAnsi="宋体" w:eastAsia="仿宋_GB2312" w:cs="宋体"/>
          <w:kern w:val="0"/>
          <w:sz w:val="32"/>
          <w:szCs w:val="32"/>
          <w:highlight w:val="none"/>
          <w:lang w:eastAsia="zh-CN"/>
        </w:rPr>
        <w:t>均未安排</w:t>
      </w:r>
      <w:r>
        <w:rPr>
          <w:rFonts w:hint="eastAsia" w:ascii="仿宋_GB2312" w:hAnsi="宋体" w:eastAsia="仿宋_GB2312" w:cs="宋体"/>
          <w:b w:val="0"/>
          <w:bCs w:val="0"/>
          <w:color w:val="auto"/>
          <w:spacing w:val="0"/>
          <w:kern w:val="0"/>
          <w:sz w:val="32"/>
          <w:szCs w:val="32"/>
          <w:highlight w:val="none"/>
          <w:lang w:val="en-US" w:eastAsia="zh-CN"/>
        </w:rPr>
        <w:t>此项预算</w:t>
      </w:r>
      <w:r>
        <w:rPr>
          <w:rFonts w:ascii="仿宋_GB2312" w:eastAsia="仿宋_GB2312"/>
          <w:b w:val="0"/>
          <w:sz w:val="32"/>
          <w:szCs w:val="32"/>
        </w:rPr>
        <w:t>；公务接待费支出0.52万元，占100.00%，比上年增加0.32万元，增长160.00%，主要原因是：</w:t>
      </w:r>
      <w:r>
        <w:rPr>
          <w:rFonts w:hint="eastAsia" w:ascii="仿宋_GB2312" w:eastAsia="仿宋_GB2312"/>
          <w:color w:val="auto"/>
          <w:sz w:val="32"/>
          <w:szCs w:val="32"/>
          <w:highlight w:val="none"/>
          <w:lang w:val="zh-CN" w:eastAsia="zh-CN"/>
        </w:rPr>
        <w:t>公务接待活动较上年增加</w:t>
      </w:r>
      <w:r>
        <w:rPr>
          <w:rFonts w:ascii="仿宋_GB2312" w:eastAsia="仿宋_GB2312"/>
          <w:b w:val="0"/>
          <w:sz w:val="32"/>
          <w:szCs w:val="32"/>
        </w:rPr>
        <w:t>。</w:t>
      </w:r>
    </w:p>
    <w:p w14:paraId="6A2EBE9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rPr>
          <w:rFonts w:ascii="仿宋_GB2312" w:eastAsia="仿宋_GB2312"/>
          <w:sz w:val="32"/>
          <w:szCs w:val="32"/>
        </w:rPr>
      </w:pPr>
      <w:r>
        <w:rPr>
          <w:rFonts w:ascii="仿宋_GB2312" w:eastAsia="仿宋_GB2312"/>
          <w:b w:val="0"/>
          <w:sz w:val="32"/>
          <w:szCs w:val="32"/>
        </w:rPr>
        <w:t>具体情况如下：</w:t>
      </w:r>
    </w:p>
    <w:p w14:paraId="11FAEF7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因公出国（境）费支出0.00万元，</w:t>
      </w:r>
      <w:r>
        <w:rPr>
          <w:rFonts w:hint="eastAsia" w:ascii="仿宋_GB2312" w:eastAsia="仿宋_GB2312"/>
          <w:b w:val="0"/>
          <w:sz w:val="32"/>
          <w:szCs w:val="32"/>
          <w:lang w:eastAsia="zh-CN"/>
        </w:rPr>
        <w:t>我单位无</w:t>
      </w:r>
      <w:r>
        <w:rPr>
          <w:rFonts w:ascii="仿宋_GB2312" w:eastAsia="仿宋_GB2312"/>
          <w:b w:val="0"/>
          <w:sz w:val="32"/>
          <w:szCs w:val="32"/>
        </w:rPr>
        <w:t>因公出国（境）费</w:t>
      </w:r>
      <w:r>
        <w:rPr>
          <w:rFonts w:hint="eastAsia" w:ascii="仿宋_GB2312" w:eastAsia="仿宋_GB2312"/>
          <w:b w:val="0"/>
          <w:sz w:val="32"/>
          <w:szCs w:val="32"/>
          <w:lang w:eastAsia="zh-CN"/>
        </w:rPr>
        <w:t>用</w:t>
      </w:r>
      <w:r>
        <w:rPr>
          <w:rFonts w:ascii="仿宋_GB2312" w:eastAsia="仿宋_GB2312"/>
          <w:b w:val="0"/>
          <w:sz w:val="32"/>
          <w:szCs w:val="32"/>
        </w:rPr>
        <w:t>。单位全年安排的因公出国（境）团组0个，因公出国（境）0人次。</w:t>
      </w:r>
    </w:p>
    <w:p w14:paraId="3941957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公务用车购置及运行维护费0.00万元，其中：公务用车购置费0.00万元，公务用车运行维护费0.00万元。公务用车运行维护费开支内容包括</w:t>
      </w:r>
      <w:r>
        <w:rPr>
          <w:rFonts w:hint="eastAsia" w:ascii="仿宋_GB2312" w:eastAsia="仿宋_GB2312"/>
          <w:color w:val="auto"/>
          <w:sz w:val="32"/>
          <w:szCs w:val="32"/>
          <w:highlight w:val="none"/>
          <w:lang w:val="en-US" w:eastAsia="zh-CN"/>
        </w:rPr>
        <w:t>2024年我单位无</w:t>
      </w:r>
      <w:r>
        <w:rPr>
          <w:rFonts w:hint="eastAsia" w:ascii="仿宋_GB2312" w:eastAsia="仿宋_GB2312"/>
          <w:color w:val="auto"/>
          <w:sz w:val="32"/>
          <w:szCs w:val="32"/>
          <w:highlight w:val="none"/>
          <w:lang w:val="zh-CN" w:eastAsia="zh-CN"/>
        </w:rPr>
        <w:t>公务用车运行维护费</w:t>
      </w:r>
      <w:r>
        <w:rPr>
          <w:rFonts w:ascii="仿宋_GB2312" w:eastAsia="仿宋_GB2312"/>
          <w:b w:val="0"/>
          <w:sz w:val="32"/>
          <w:szCs w:val="32"/>
        </w:rPr>
        <w:t>。公务用车购置数0辆，公务用车保有量0辆。国有资产占用情况中固定资产车辆25辆，与公务用车保有量差异原因是：</w:t>
      </w:r>
      <w:r>
        <w:rPr>
          <w:rFonts w:hint="eastAsia" w:ascii="仿宋_GB2312" w:eastAsia="仿宋_GB2312"/>
          <w:color w:val="auto"/>
          <w:sz w:val="32"/>
          <w:szCs w:val="32"/>
          <w:highlight w:val="none"/>
          <w:lang w:val="zh-CN" w:eastAsia="zh-CN"/>
        </w:rPr>
        <w:t>我单位公务车由乌鲁木齐经济技术开发区（乌鲁木齐市头屯河区）机关事务管理中心统一管理</w:t>
      </w:r>
      <w:r>
        <w:rPr>
          <w:rFonts w:ascii="仿宋_GB2312" w:eastAsia="仿宋_GB2312"/>
          <w:b w:val="0"/>
          <w:sz w:val="32"/>
          <w:szCs w:val="32"/>
        </w:rPr>
        <w:t>。</w:t>
      </w:r>
    </w:p>
    <w:p w14:paraId="5F68FFD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公务接待费0.52万元，开支内容包括</w:t>
      </w:r>
      <w:r>
        <w:rPr>
          <w:rFonts w:hint="eastAsia" w:ascii="仿宋_GB2312" w:eastAsia="仿宋_GB2312"/>
          <w:color w:val="auto"/>
          <w:sz w:val="32"/>
          <w:szCs w:val="32"/>
          <w:highlight w:val="none"/>
          <w:lang w:val="zh-CN" w:eastAsia="zh-CN"/>
        </w:rPr>
        <w:t>各类接待活动餐费</w:t>
      </w:r>
      <w:r>
        <w:rPr>
          <w:rFonts w:ascii="仿宋_GB2312" w:eastAsia="仿宋_GB2312"/>
          <w:b w:val="0"/>
          <w:sz w:val="32"/>
          <w:szCs w:val="32"/>
        </w:rPr>
        <w:t>。单位全年安排的国内公务接待10批次，66人次。</w:t>
      </w:r>
    </w:p>
    <w:p w14:paraId="6F1A1E2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与全年预算相比，财政拨款“三公”经费支出全年预算数0.52万元，决算数0.52万元，预决算差异率0.00%，主要原因是：</w:t>
      </w:r>
      <w:r>
        <w:rPr>
          <w:rFonts w:hint="eastAsia" w:ascii="仿宋_GB2312" w:eastAsia="仿宋_GB2312"/>
          <w:color w:val="auto"/>
          <w:sz w:val="32"/>
          <w:szCs w:val="32"/>
          <w:highlight w:val="none"/>
          <w:lang w:val="zh-CN" w:eastAsia="zh-CN"/>
        </w:rPr>
        <w:t>严格按照预算执行</w:t>
      </w:r>
      <w:r>
        <w:rPr>
          <w:rFonts w:ascii="仿宋_GB2312" w:eastAsia="仿宋_GB2312"/>
          <w:b w:val="0"/>
          <w:sz w:val="32"/>
          <w:szCs w:val="32"/>
        </w:rPr>
        <w:t>。其中：因公出国（境）费全年预算数0.00万元，决算数0.00万元，预决算差异率0.00%，主要原因是：</w:t>
      </w:r>
      <w:r>
        <w:rPr>
          <w:rFonts w:hint="eastAsia" w:ascii="仿宋_GB2312" w:eastAsia="仿宋_GB2312"/>
          <w:b w:val="0"/>
          <w:sz w:val="32"/>
          <w:szCs w:val="32"/>
          <w:lang w:val="en-US" w:eastAsia="zh-CN"/>
        </w:rPr>
        <w:t>2024年未产生</w:t>
      </w:r>
      <w:r>
        <w:rPr>
          <w:rFonts w:ascii="仿宋_GB2312" w:eastAsia="仿宋_GB2312"/>
          <w:b w:val="0"/>
          <w:sz w:val="32"/>
          <w:szCs w:val="32"/>
        </w:rPr>
        <w:t>因公出国（境）支出；公务用车购置费全年预算数0.00万元，决算数0.00万元，预决算差异率0.00%，主要原因是：</w:t>
      </w:r>
      <w:r>
        <w:rPr>
          <w:rFonts w:hint="eastAsia" w:ascii="仿宋_GB2312" w:eastAsia="仿宋_GB2312"/>
          <w:color w:val="auto"/>
          <w:sz w:val="32"/>
          <w:szCs w:val="32"/>
          <w:highlight w:val="none"/>
          <w:lang w:val="en-US" w:eastAsia="zh-CN"/>
        </w:rPr>
        <w:t>2024年我单位未安排公务用车</w:t>
      </w:r>
      <w:r>
        <w:rPr>
          <w:rFonts w:ascii="仿宋_GB2312" w:eastAsia="仿宋_GB2312"/>
          <w:b w:val="0"/>
          <w:sz w:val="32"/>
          <w:szCs w:val="32"/>
        </w:rPr>
        <w:t>购置费；公务用车运行维护费全年预算数0.00万元，决算数0.00万元，预决算差异率0.00%，主要原因是：</w:t>
      </w:r>
      <w:r>
        <w:rPr>
          <w:rFonts w:hint="eastAsia" w:ascii="仿宋_GB2312" w:eastAsia="仿宋_GB2312"/>
          <w:color w:val="auto"/>
          <w:sz w:val="32"/>
          <w:szCs w:val="32"/>
          <w:highlight w:val="none"/>
          <w:lang w:val="en-US" w:eastAsia="zh-CN"/>
        </w:rPr>
        <w:t>2024年我单位无</w:t>
      </w:r>
      <w:r>
        <w:rPr>
          <w:rFonts w:hint="eastAsia" w:ascii="仿宋_GB2312" w:eastAsia="仿宋_GB2312"/>
          <w:color w:val="auto"/>
          <w:sz w:val="32"/>
          <w:szCs w:val="32"/>
          <w:highlight w:val="none"/>
          <w:lang w:val="zh-CN" w:eastAsia="zh-CN"/>
        </w:rPr>
        <w:t>公务用车运行维护费</w:t>
      </w:r>
      <w:r>
        <w:rPr>
          <w:rFonts w:ascii="仿宋_GB2312" w:eastAsia="仿宋_GB2312"/>
          <w:b w:val="0"/>
          <w:sz w:val="32"/>
          <w:szCs w:val="32"/>
        </w:rPr>
        <w:t>；公务接待费全年预算数0.52万元，决算数0.52万元，预决算差异率0.00%，主要原因是：</w:t>
      </w:r>
      <w:r>
        <w:rPr>
          <w:rFonts w:hint="eastAsia" w:ascii="仿宋_GB2312" w:eastAsia="仿宋_GB2312"/>
          <w:color w:val="auto"/>
          <w:sz w:val="32"/>
          <w:szCs w:val="32"/>
          <w:highlight w:val="none"/>
          <w:lang w:val="zh-CN" w:eastAsia="zh-CN"/>
        </w:rPr>
        <w:t>严格按照预算执行</w:t>
      </w:r>
      <w:r>
        <w:rPr>
          <w:rFonts w:ascii="仿宋_GB2312" w:eastAsia="仿宋_GB2312"/>
          <w:b w:val="0"/>
          <w:sz w:val="32"/>
          <w:szCs w:val="32"/>
        </w:rPr>
        <w:t>。</w:t>
      </w:r>
    </w:p>
    <w:p w14:paraId="74FC6CD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highlight w:val="none"/>
        </w:rPr>
      </w:pPr>
      <w:r>
        <w:rPr>
          <w:rFonts w:ascii="黑体" w:eastAsia="黑体"/>
          <w:b w:val="0"/>
          <w:sz w:val="32"/>
          <w:szCs w:val="32"/>
          <w:highlight w:val="none"/>
        </w:rPr>
        <w:t>十、其他重要事项的情况说明</w:t>
      </w:r>
    </w:p>
    <w:p w14:paraId="67A1EBD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highlight w:val="none"/>
        </w:rPr>
      </w:pPr>
      <w:r>
        <w:rPr>
          <w:rFonts w:ascii="黑体" w:eastAsia="黑体"/>
          <w:b w:val="0"/>
          <w:sz w:val="32"/>
          <w:szCs w:val="32"/>
          <w:highlight w:val="none"/>
        </w:rPr>
        <w:t>（一）机关运行经费及公用经费支出情况</w:t>
      </w:r>
    </w:p>
    <w:p w14:paraId="26FF3704">
      <w:pPr>
        <w:pStyle w:val="2"/>
        <w:keepNext w:val="0"/>
        <w:keepLines w:val="0"/>
        <w:pageBreakBefore w:val="0"/>
        <w:kinsoku/>
        <w:wordWrap/>
        <w:overflowPunct/>
        <w:topLinePunct w:val="0"/>
        <w:autoSpaceDE/>
        <w:autoSpaceDN/>
        <w:bidi w:val="0"/>
        <w:adjustRightInd/>
        <w:spacing w:line="560" w:lineRule="exact"/>
        <w:ind w:firstLine="640" w:firstLineChars="200"/>
        <w:rPr>
          <w:rFonts w:ascii="仿宋_GB2312" w:eastAsia="仿宋_GB2312"/>
          <w:sz w:val="32"/>
          <w:szCs w:val="32"/>
        </w:rPr>
      </w:pPr>
      <w:r>
        <w:rPr>
          <w:rFonts w:ascii="仿宋_GB2312" w:eastAsia="仿宋_GB2312"/>
          <w:b w:val="0"/>
          <w:sz w:val="32"/>
          <w:szCs w:val="32"/>
          <w:highlight w:val="none"/>
        </w:rPr>
        <w:t>2024年度乌鲁木齐经济技术开发区管理委员会（乌鲁木齐市头屯河区人民政府）办公室</w:t>
      </w:r>
      <w:r>
        <w:rPr>
          <w:rFonts w:hint="eastAsia" w:ascii="仿宋_GB2312" w:eastAsia="仿宋_GB2312"/>
          <w:b w:val="0"/>
          <w:sz w:val="32"/>
          <w:szCs w:val="32"/>
          <w:highlight w:val="none"/>
          <w:lang w:val="en-US" w:eastAsia="zh-CN"/>
        </w:rPr>
        <w:t>单位</w:t>
      </w:r>
      <w:r>
        <w:rPr>
          <w:rFonts w:ascii="仿宋_GB2312" w:eastAsia="仿宋_GB2312"/>
          <w:b w:val="0"/>
          <w:sz w:val="32"/>
          <w:szCs w:val="32"/>
          <w:highlight w:val="none"/>
        </w:rPr>
        <w:t>（行政单位和参照公务员法管理事业单位）机关运行经费支出66.82万元，比上年增加14.38万元，增长27.</w:t>
      </w:r>
      <w:r>
        <w:rPr>
          <w:rFonts w:ascii="仿宋_GB2312" w:eastAsia="仿宋_GB2312"/>
          <w:b w:val="0"/>
          <w:sz w:val="32"/>
          <w:szCs w:val="32"/>
        </w:rPr>
        <w:t>42%，主要原因是：</w:t>
      </w:r>
      <w:r>
        <w:rPr>
          <w:rFonts w:hint="eastAsia" w:ascii="仿宋_GB2312" w:eastAsia="仿宋_GB2312"/>
          <w:b w:val="0"/>
          <w:sz w:val="32"/>
          <w:szCs w:val="32"/>
          <w:lang w:val="en-US" w:eastAsia="zh-CN"/>
        </w:rPr>
        <w:t>2</w:t>
      </w:r>
      <w:r>
        <w:rPr>
          <w:rFonts w:hint="eastAsia" w:ascii="仿宋_GB2312" w:hAnsi="仿宋_GB2312" w:eastAsia="仿宋_GB2312" w:cs="仿宋_GB2312"/>
          <w:color w:val="auto"/>
          <w:kern w:val="0"/>
          <w:sz w:val="32"/>
          <w:szCs w:val="32"/>
          <w:highlight w:val="none"/>
          <w:lang w:val="en-US" w:eastAsia="zh-CN"/>
        </w:rPr>
        <w:t>024年增加8人，人员经费及公用经费增加。</w:t>
      </w:r>
    </w:p>
    <w:p w14:paraId="66766D8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（二）政府采购情况</w:t>
      </w:r>
    </w:p>
    <w:p w14:paraId="22328A4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2024年度政府采购支出总额740.83万元，其中：政府采购货物支出521.83万元、政府采购工程支出0.00万元、政府采购服务支出219.00万元。</w:t>
      </w:r>
    </w:p>
    <w:p w14:paraId="63740BD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授予中小企业合同金额740.83万元，占政府采购支出总额的100.00%，其中：授予小微企业合同金额60.63万元，占政府采购支出总额的8.18%。</w:t>
      </w:r>
    </w:p>
    <w:p w14:paraId="4CA4BCB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（三）国有资产占用情况说明</w:t>
      </w:r>
    </w:p>
    <w:p w14:paraId="46D1093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截至2024年12月31日，房屋59,401.98平方米，价值9,571.48万元。车辆25辆，价值685.68万元，其中：副部（省）级及以上领导用车0辆、主要负责人用车0辆、机要通信用车0辆、应急保障用车0辆、执法执勤用车0辆、特种专业技术用车0辆、离退休干部服务用车0辆、其他用车25辆，其他用车主要是：</w:t>
      </w:r>
      <w:r>
        <w:rPr>
          <w:rFonts w:hint="eastAsia" w:ascii="仿宋_GB2312" w:hAnsi="仿宋_GB2312" w:eastAsia="仿宋_GB2312" w:cs="仿宋_GB2312"/>
          <w:color w:val="auto"/>
          <w:sz w:val="32"/>
          <w:szCs w:val="32"/>
          <w:highlight w:val="none"/>
          <w:lang w:val="zh-CN" w:eastAsia="zh-CN"/>
        </w:rPr>
        <w:t>公务用车</w:t>
      </w:r>
      <w:r>
        <w:rPr>
          <w:rFonts w:ascii="仿宋_GB2312" w:eastAsia="仿宋_GB2312"/>
          <w:b w:val="0"/>
          <w:sz w:val="32"/>
          <w:szCs w:val="32"/>
        </w:rPr>
        <w:t>;单价100万元（含）以上设备（不含车辆）4台（套）。</w:t>
      </w:r>
    </w:p>
    <w:p w14:paraId="3408A4C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十一、预算绩效的情况说明</w:t>
      </w:r>
    </w:p>
    <w:p w14:paraId="3490E497">
      <w:pPr>
        <w:pStyle w:val="3"/>
        <w:keepNext w:val="0"/>
        <w:keepLines w:val="0"/>
        <w:pageBreakBefore w:val="0"/>
        <w:kinsoku/>
        <w:wordWrap/>
        <w:overflowPunct/>
        <w:topLinePunct w:val="0"/>
        <w:autoSpaceDE/>
        <w:autoSpaceDN/>
        <w:bidi w:val="0"/>
        <w:adjustRightInd/>
        <w:spacing w:line="560" w:lineRule="exact"/>
        <w:rPr>
          <w:rFonts w:ascii="仿宋_GB2312" w:eastAsia="仿宋_GB2312"/>
          <w:b w:val="0"/>
          <w:sz w:val="32"/>
          <w:szCs w:val="32"/>
          <w:highlight w:val="none"/>
        </w:rPr>
      </w:pPr>
      <w:r>
        <w:rPr>
          <w:rFonts w:ascii="仿宋_GB2312" w:eastAsia="仿宋_GB2312"/>
          <w:b w:val="0"/>
          <w:sz w:val="32"/>
          <w:szCs w:val="32"/>
        </w:rPr>
        <w:t>根据预算绩效管理要求，本</w:t>
      </w:r>
      <w:r>
        <w:rPr>
          <w:rFonts w:hint="eastAsia" w:ascii="仿宋_GB2312" w:eastAsia="仿宋_GB2312"/>
          <w:b w:val="0"/>
          <w:sz w:val="32"/>
          <w:szCs w:val="32"/>
          <w:lang w:val="en-US" w:eastAsia="zh-CN"/>
        </w:rPr>
        <w:t>单位</w:t>
      </w:r>
      <w:r>
        <w:rPr>
          <w:rFonts w:ascii="仿宋_GB2312" w:eastAsia="仿宋_GB2312"/>
          <w:b w:val="0"/>
          <w:sz w:val="32"/>
          <w:szCs w:val="32"/>
        </w:rPr>
        <w:t>2024年度预算绩效管理形成整体支出绩效自评表1个，</w:t>
      </w:r>
      <w:r>
        <w:rPr>
          <w:rFonts w:ascii="仿宋_GB2312" w:eastAsia="仿宋_GB2312"/>
          <w:b w:val="0"/>
          <w:sz w:val="32"/>
          <w:szCs w:val="32"/>
          <w:highlight w:val="none"/>
        </w:rPr>
        <w:t>全年预算总额</w:t>
      </w:r>
      <w:r>
        <w:rPr>
          <w:rFonts w:hint="eastAsia" w:ascii="仿宋_GB2312" w:eastAsia="仿宋_GB2312"/>
          <w:b w:val="0"/>
          <w:sz w:val="32"/>
          <w:szCs w:val="32"/>
          <w:highlight w:val="none"/>
          <w:lang w:val="en-US" w:eastAsia="zh-CN"/>
        </w:rPr>
        <w:t>9771.75</w:t>
      </w:r>
      <w:r>
        <w:rPr>
          <w:rFonts w:ascii="仿宋_GB2312" w:eastAsia="仿宋_GB2312"/>
          <w:b w:val="0"/>
          <w:sz w:val="32"/>
          <w:szCs w:val="32"/>
          <w:highlight w:val="none"/>
        </w:rPr>
        <w:t>万元，实际执行总额</w:t>
      </w:r>
      <w:r>
        <w:rPr>
          <w:rFonts w:hint="eastAsia" w:ascii="仿宋_GB2312" w:eastAsia="仿宋_GB2312"/>
          <w:b w:val="0"/>
          <w:sz w:val="32"/>
          <w:szCs w:val="32"/>
          <w:highlight w:val="none"/>
          <w:lang w:val="en-US" w:eastAsia="zh-CN"/>
        </w:rPr>
        <w:t>8767.02</w:t>
      </w:r>
      <w:r>
        <w:rPr>
          <w:rFonts w:ascii="仿宋_GB2312" w:eastAsia="仿宋_GB2312"/>
          <w:b w:val="0"/>
          <w:sz w:val="32"/>
          <w:szCs w:val="32"/>
          <w:highlight w:val="none"/>
        </w:rPr>
        <w:t>万元；预算绩效评价项目</w:t>
      </w:r>
      <w:r>
        <w:rPr>
          <w:rFonts w:hint="eastAsia" w:ascii="仿宋_GB2312" w:eastAsia="仿宋_GB2312"/>
          <w:b w:val="0"/>
          <w:sz w:val="32"/>
          <w:szCs w:val="32"/>
          <w:highlight w:val="none"/>
          <w:lang w:val="en-US" w:eastAsia="zh-CN"/>
        </w:rPr>
        <w:t>13</w:t>
      </w:r>
      <w:r>
        <w:rPr>
          <w:rFonts w:ascii="仿宋_GB2312" w:eastAsia="仿宋_GB2312"/>
          <w:b w:val="0"/>
          <w:sz w:val="32"/>
          <w:szCs w:val="32"/>
          <w:highlight w:val="none"/>
        </w:rPr>
        <w:t>个，全年预算数</w:t>
      </w:r>
      <w:r>
        <w:rPr>
          <w:rFonts w:hint="eastAsia" w:ascii="仿宋_GB2312" w:hAnsi="Times New Roman" w:eastAsia="仿宋_GB2312" w:cs="Times New Roman"/>
          <w:b w:val="0"/>
          <w:sz w:val="32"/>
          <w:szCs w:val="32"/>
          <w:highlight w:val="none"/>
          <w:lang w:val="en-US" w:eastAsia="zh-CN"/>
        </w:rPr>
        <w:t>16314.27万</w:t>
      </w:r>
      <w:r>
        <w:rPr>
          <w:rFonts w:ascii="仿宋_GB2312" w:eastAsia="仿宋_GB2312"/>
          <w:b w:val="0"/>
          <w:sz w:val="32"/>
          <w:szCs w:val="32"/>
          <w:highlight w:val="none"/>
        </w:rPr>
        <w:t>元，全年执行数</w:t>
      </w:r>
      <w:r>
        <w:rPr>
          <w:rFonts w:hint="eastAsia" w:ascii="仿宋_GB2312" w:hAnsi="Times New Roman" w:eastAsia="仿宋_GB2312" w:cs="Times New Roman"/>
          <w:b w:val="0"/>
          <w:sz w:val="32"/>
          <w:szCs w:val="32"/>
          <w:highlight w:val="none"/>
          <w:lang w:val="en-US" w:eastAsia="zh-CN"/>
        </w:rPr>
        <w:t>5569.59万</w:t>
      </w:r>
      <w:r>
        <w:rPr>
          <w:rFonts w:ascii="仿宋_GB2312" w:eastAsia="仿宋_GB2312"/>
          <w:b w:val="0"/>
          <w:sz w:val="32"/>
          <w:szCs w:val="32"/>
          <w:highlight w:val="none"/>
        </w:rPr>
        <w:t>元。预算绩效管理取得的成效：</w:t>
      </w:r>
      <w:r>
        <w:rPr>
          <w:rFonts w:hint="eastAsia" w:ascii="仿宋_GB2312" w:eastAsia="仿宋_GB2312"/>
          <w:sz w:val="32"/>
          <w:szCs w:val="32"/>
          <w:highlight w:val="none"/>
        </w:rPr>
        <w:t>一是</w:t>
      </w:r>
      <w:r>
        <w:rPr>
          <w:rFonts w:hint="eastAsia" w:ascii="仿宋_GB2312" w:eastAsia="仿宋_GB2312"/>
          <w:sz w:val="32"/>
          <w:szCs w:val="32"/>
        </w:rPr>
        <w:t>优</w:t>
      </w:r>
      <w:r>
        <w:rPr>
          <w:rFonts w:hint="eastAsia" w:ascii="仿宋_GB2312" w:eastAsia="仿宋_GB2312"/>
          <w:sz w:val="32"/>
          <w:szCs w:val="32"/>
          <w:lang w:eastAsia="zh-CN"/>
        </w:rPr>
        <w:t>化</w:t>
      </w:r>
      <w:r>
        <w:rPr>
          <w:rFonts w:hint="eastAsia" w:ascii="仿宋_GB2312" w:eastAsia="仿宋_GB2312"/>
          <w:sz w:val="32"/>
          <w:szCs w:val="32"/>
        </w:rPr>
        <w:t>支出结构保重点支出，严格贯彻落实中央八项规定和规范津补贴等厉行节约的要求，树立过紧日子的思想。加强综合财政预算管理，进一步压缩政府运行成本，严格控制“三公</w:t>
      </w:r>
      <w:r>
        <w:rPr>
          <w:rFonts w:hint="eastAsia" w:ascii="仿宋_GB2312" w:eastAsia="仿宋_GB2312"/>
          <w:sz w:val="32"/>
          <w:szCs w:val="32"/>
          <w:lang w:eastAsia="zh-CN"/>
        </w:rPr>
        <w:t>”</w:t>
      </w:r>
      <w:r>
        <w:rPr>
          <w:rFonts w:hint="eastAsia" w:ascii="仿宋_GB2312" w:eastAsia="仿宋_GB2312"/>
          <w:sz w:val="32"/>
          <w:szCs w:val="32"/>
        </w:rPr>
        <w:t>经费；二是依托绩效监控平台，全面、真实、客观地反应资金支付信息，提高预算执行和资金透明度，实时监管预算执行，实施项目预算执行事前预警、事中控制、事后分析、及时纠</w:t>
      </w:r>
      <w:r>
        <w:rPr>
          <w:rFonts w:hint="eastAsia" w:ascii="仿宋_GB2312" w:eastAsia="仿宋_GB2312"/>
          <w:sz w:val="32"/>
          <w:szCs w:val="32"/>
          <w:highlight w:val="none"/>
        </w:rPr>
        <w:t>偏</w:t>
      </w:r>
      <w:r>
        <w:rPr>
          <w:rFonts w:ascii="仿宋_GB2312" w:eastAsia="仿宋_GB2312"/>
          <w:b w:val="0"/>
          <w:sz w:val="32"/>
          <w:szCs w:val="32"/>
          <w:highlight w:val="none"/>
        </w:rPr>
        <w:t>。发现的问题及原因：</w:t>
      </w:r>
      <w:r>
        <w:rPr>
          <w:rFonts w:hint="eastAsia" w:ascii="仿宋_GB2312" w:eastAsia="仿宋_GB2312"/>
          <w:sz w:val="32"/>
          <w:szCs w:val="32"/>
          <w:highlight w:val="none"/>
        </w:rPr>
        <w:t>突发情况较多，经常出现预算不足，需要年中追加预算情况。主要是因为可支配财力不足，预算基础工作还不够到位</w:t>
      </w:r>
      <w:r>
        <w:rPr>
          <w:rFonts w:ascii="仿宋_GB2312" w:eastAsia="仿宋_GB2312"/>
          <w:b w:val="0"/>
          <w:sz w:val="32"/>
          <w:szCs w:val="32"/>
          <w:highlight w:val="none"/>
        </w:rPr>
        <w:t>。下一步改进措施：</w:t>
      </w:r>
      <w:r>
        <w:rPr>
          <w:rFonts w:hint="eastAsia" w:ascii="仿宋_GB2312" w:eastAsia="仿宋_GB2312"/>
          <w:sz w:val="32"/>
          <w:szCs w:val="32"/>
          <w:highlight w:val="none"/>
        </w:rPr>
        <w:t>一是加强专项资金使用事前管理程序，避免资金使用审批不通过的情况；二是加强项目资金的预算管理，缩小年初预算数与执行数差额</w:t>
      </w:r>
      <w:r>
        <w:rPr>
          <w:rFonts w:ascii="仿宋_GB2312" w:eastAsia="仿宋_GB2312"/>
          <w:b w:val="0"/>
          <w:sz w:val="32"/>
          <w:szCs w:val="32"/>
          <w:highlight w:val="none"/>
        </w:rPr>
        <w:t>。具体附</w:t>
      </w:r>
      <w:r>
        <w:rPr>
          <w:rFonts w:hint="eastAsia" w:ascii="仿宋_GB2312" w:eastAsia="仿宋_GB2312"/>
          <w:b w:val="0"/>
          <w:sz w:val="32"/>
          <w:szCs w:val="32"/>
          <w:highlight w:val="none"/>
          <w:lang w:val="en-US" w:eastAsia="zh-CN"/>
        </w:rPr>
        <w:t>单位</w:t>
      </w:r>
      <w:r>
        <w:rPr>
          <w:rFonts w:ascii="仿宋_GB2312" w:eastAsia="仿宋_GB2312"/>
          <w:b w:val="0"/>
          <w:sz w:val="32"/>
          <w:szCs w:val="32"/>
          <w:highlight w:val="none"/>
        </w:rPr>
        <w:t>整体支出绩效自评表，项目支出绩效自评表和</w:t>
      </w:r>
      <w:r>
        <w:rPr>
          <w:rFonts w:hint="eastAsia" w:ascii="仿宋_GB2312" w:eastAsia="仿宋_GB2312"/>
          <w:b w:val="0"/>
          <w:sz w:val="32"/>
          <w:szCs w:val="32"/>
          <w:highlight w:val="none"/>
          <w:lang w:val="en-US" w:eastAsia="zh-CN"/>
        </w:rPr>
        <w:t>单位</w:t>
      </w:r>
      <w:r>
        <w:rPr>
          <w:rFonts w:ascii="仿宋_GB2312" w:eastAsia="仿宋_GB2312"/>
          <w:b w:val="0"/>
          <w:sz w:val="32"/>
          <w:szCs w:val="32"/>
          <w:highlight w:val="none"/>
        </w:rPr>
        <w:t>评价报告。</w:t>
      </w:r>
    </w:p>
    <w:p w14:paraId="03FEBA31">
      <w:pPr>
        <w:pStyle w:val="2"/>
        <w:keepNext w:val="0"/>
        <w:keepLines w:val="0"/>
        <w:pageBreakBefore w:val="0"/>
        <w:kinsoku/>
        <w:wordWrap/>
        <w:overflowPunct/>
        <w:topLinePunct w:val="0"/>
        <w:autoSpaceDE/>
        <w:autoSpaceDN/>
        <w:bidi w:val="0"/>
        <w:adjustRightInd/>
        <w:spacing w:line="560" w:lineRule="exact"/>
        <w:rPr>
          <w:rFonts w:ascii="仿宋_GB2312" w:eastAsia="仿宋_GB2312"/>
          <w:b w:val="0"/>
          <w:sz w:val="32"/>
          <w:szCs w:val="32"/>
          <w:highlight w:val="none"/>
        </w:rPr>
      </w:pPr>
    </w:p>
    <w:p w14:paraId="4DD4B8DF">
      <w:pPr>
        <w:pStyle w:val="2"/>
        <w:keepNext w:val="0"/>
        <w:keepLines w:val="0"/>
        <w:pageBreakBefore w:val="0"/>
        <w:kinsoku/>
        <w:wordWrap/>
        <w:overflowPunct/>
        <w:topLinePunct w:val="0"/>
        <w:autoSpaceDE/>
        <w:autoSpaceDN/>
        <w:bidi w:val="0"/>
        <w:adjustRightInd/>
        <w:spacing w:line="560" w:lineRule="exact"/>
        <w:rPr>
          <w:rFonts w:ascii="仿宋_GB2312" w:eastAsia="仿宋_GB2312"/>
          <w:b w:val="0"/>
          <w:sz w:val="32"/>
          <w:szCs w:val="32"/>
          <w:highlight w:val="none"/>
        </w:rPr>
      </w:pPr>
    </w:p>
    <w:tbl>
      <w:tblPr>
        <w:tblStyle w:val="5"/>
        <w:tblW w:w="964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44"/>
        <w:gridCol w:w="331"/>
        <w:gridCol w:w="335"/>
        <w:gridCol w:w="640"/>
        <w:gridCol w:w="528"/>
        <w:gridCol w:w="133"/>
        <w:gridCol w:w="671"/>
        <w:gridCol w:w="282"/>
        <w:gridCol w:w="863"/>
        <w:gridCol w:w="57"/>
        <w:gridCol w:w="733"/>
        <w:gridCol w:w="389"/>
        <w:gridCol w:w="915"/>
        <w:gridCol w:w="89"/>
        <w:gridCol w:w="40"/>
        <w:gridCol w:w="237"/>
        <w:gridCol w:w="184"/>
        <w:gridCol w:w="399"/>
        <w:gridCol w:w="63"/>
        <w:gridCol w:w="196"/>
        <w:gridCol w:w="629"/>
        <w:gridCol w:w="312"/>
        <w:gridCol w:w="979"/>
      </w:tblGrid>
      <w:tr w14:paraId="4984B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3" w:hRule="atLeast"/>
        </w:trPr>
        <w:tc>
          <w:tcPr>
            <w:tcW w:w="9649" w:type="dxa"/>
            <w:gridSpan w:val="23"/>
            <w:tcBorders>
              <w:top w:val="nil"/>
              <w:left w:val="nil"/>
              <w:bottom w:val="nil"/>
              <w:right w:val="nil"/>
            </w:tcBorders>
            <w:shd w:val="clear" w:color="auto" w:fill="auto"/>
            <w:noWrap/>
            <w:tcMar>
              <w:top w:w="15" w:type="dxa"/>
              <w:left w:w="15" w:type="dxa"/>
              <w:right w:w="15" w:type="dxa"/>
            </w:tcMar>
            <w:vAlign w:val="center"/>
          </w:tcPr>
          <w:p w14:paraId="5095E77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部门（单位）整体支出绩效目标自评表</w:t>
            </w:r>
          </w:p>
        </w:tc>
      </w:tr>
      <w:tr w14:paraId="57AD4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49" w:type="dxa"/>
            <w:gridSpan w:val="23"/>
            <w:tcBorders>
              <w:top w:val="nil"/>
              <w:left w:val="nil"/>
              <w:bottom w:val="nil"/>
              <w:right w:val="nil"/>
            </w:tcBorders>
            <w:shd w:val="clear" w:color="auto" w:fill="auto"/>
            <w:noWrap/>
            <w:tcMar>
              <w:top w:w="15" w:type="dxa"/>
              <w:left w:w="15" w:type="dxa"/>
              <w:right w:w="15" w:type="dxa"/>
            </w:tcMar>
            <w:vAlign w:val="center"/>
          </w:tcPr>
          <w:p w14:paraId="7054B41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2024</w:t>
            </w:r>
          </w:p>
        </w:tc>
      </w:tr>
      <w:tr w14:paraId="32E65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3282"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A0B3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部门（单位）名称</w:t>
            </w:r>
          </w:p>
        </w:tc>
        <w:tc>
          <w:tcPr>
            <w:tcW w:w="6367" w:type="dxa"/>
            <w:gridSpan w:val="1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BADFA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乌鲁木齐经济技术开发区管理委员会（乌鲁木齐市头屯河区人民政府）办公室</w:t>
            </w:r>
          </w:p>
        </w:tc>
      </w:tr>
      <w:tr w14:paraId="43966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1950" w:type="dxa"/>
            <w:gridSpan w:val="4"/>
            <w:vMerge w:val="restar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262EA92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年度预算（万元）</w:t>
            </w:r>
          </w:p>
        </w:tc>
        <w:tc>
          <w:tcPr>
            <w:tcW w:w="253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2D2C3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资金来源</w:t>
            </w:r>
          </w:p>
        </w:tc>
        <w:tc>
          <w:tcPr>
            <w:tcW w:w="212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5639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年初预算数（万元）</w:t>
            </w:r>
          </w:p>
        </w:tc>
        <w:tc>
          <w:tcPr>
            <w:tcW w:w="92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0CBD7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333333"/>
                <w:sz w:val="20"/>
                <w:szCs w:val="20"/>
                <w:u w:val="none"/>
              </w:rPr>
            </w:pPr>
            <w:r>
              <w:rPr>
                <w:rFonts w:hint="eastAsia" w:ascii="宋体" w:hAnsi="宋体" w:eastAsia="宋体" w:cs="宋体"/>
                <w:i w:val="0"/>
                <w:color w:val="333333"/>
                <w:kern w:val="0"/>
                <w:sz w:val="20"/>
                <w:szCs w:val="20"/>
                <w:u w:val="none"/>
                <w:lang w:val="en-US" w:eastAsia="zh-CN" w:bidi="ar"/>
              </w:rPr>
              <w:t>预算数（调整后）</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5F66E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333333"/>
                <w:sz w:val="20"/>
                <w:szCs w:val="20"/>
                <w:u w:val="none"/>
              </w:rPr>
            </w:pPr>
            <w:r>
              <w:rPr>
                <w:rFonts w:hint="eastAsia" w:ascii="宋体" w:hAnsi="宋体" w:eastAsia="宋体" w:cs="宋体"/>
                <w:i w:val="0"/>
                <w:color w:val="333333"/>
                <w:kern w:val="0"/>
                <w:sz w:val="20"/>
                <w:szCs w:val="20"/>
                <w:u w:val="none"/>
                <w:lang w:val="en-US" w:eastAsia="zh-CN" w:bidi="ar"/>
              </w:rPr>
              <w:t>执行数</w:t>
            </w: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D742A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333333"/>
                <w:sz w:val="20"/>
                <w:szCs w:val="20"/>
                <w:u w:val="none"/>
              </w:rPr>
            </w:pPr>
            <w:r>
              <w:rPr>
                <w:rFonts w:hint="eastAsia" w:ascii="宋体" w:hAnsi="宋体" w:eastAsia="宋体" w:cs="宋体"/>
                <w:i w:val="0"/>
                <w:color w:val="333333"/>
                <w:kern w:val="0"/>
                <w:sz w:val="20"/>
                <w:szCs w:val="20"/>
                <w:u w:val="none"/>
                <w:lang w:val="en-US" w:eastAsia="zh-CN" w:bidi="ar"/>
              </w:rPr>
              <w:t>执行率(%)</w:t>
            </w:r>
          </w:p>
        </w:tc>
      </w:tr>
      <w:tr w14:paraId="3DCCD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1950" w:type="dxa"/>
            <w:gridSpan w:val="4"/>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58408B9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32" w:type="dxa"/>
            <w:gridSpan w:val="3"/>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F0BFB3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财政资金（万元）</w:t>
            </w:r>
          </w:p>
        </w:tc>
        <w:tc>
          <w:tcPr>
            <w:tcW w:w="120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C175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上级资金：</w:t>
            </w:r>
          </w:p>
        </w:tc>
        <w:tc>
          <w:tcPr>
            <w:tcW w:w="212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FFEB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2555.49</w:t>
            </w:r>
          </w:p>
        </w:tc>
        <w:tc>
          <w:tcPr>
            <w:tcW w:w="92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1A3417">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1004.73</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9C4C46">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932EB0">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r>
      <w:tr w14:paraId="62DE6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1950" w:type="dxa"/>
            <w:gridSpan w:val="4"/>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24E3589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32"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6164D3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0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BD91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本级资金：</w:t>
            </w:r>
          </w:p>
        </w:tc>
        <w:tc>
          <w:tcPr>
            <w:tcW w:w="212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AAFF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12352.58</w:t>
            </w:r>
          </w:p>
        </w:tc>
        <w:tc>
          <w:tcPr>
            <w:tcW w:w="92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B195C6">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8767.02</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B3B2B">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8767.02</w:t>
            </w: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B3F4E4">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r>
      <w:tr w14:paraId="3E610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1950" w:type="dxa"/>
            <w:gridSpan w:val="4"/>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C57D4A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32"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574F59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0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EB3E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其他资金：</w:t>
            </w:r>
          </w:p>
        </w:tc>
        <w:tc>
          <w:tcPr>
            <w:tcW w:w="212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76DB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92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A0B44">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2126C">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BB254">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r>
      <w:tr w14:paraId="2F66F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1950" w:type="dxa"/>
            <w:gridSpan w:val="4"/>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A76959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3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51C8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20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836139">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212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B719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14908.07</w:t>
            </w:r>
          </w:p>
        </w:tc>
        <w:tc>
          <w:tcPr>
            <w:tcW w:w="92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77A6F2">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9771.75</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8E2503">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8767.02</w:t>
            </w: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2801B">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89.72%</w:t>
            </w:r>
          </w:p>
        </w:tc>
      </w:tr>
      <w:tr w14:paraId="583D1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975"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31704D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年度总体目标</w:t>
            </w:r>
          </w:p>
        </w:tc>
        <w:tc>
          <w:tcPr>
            <w:tcW w:w="4631" w:type="dxa"/>
            <w:gridSpan w:val="10"/>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D9057D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预期目标</w:t>
            </w:r>
          </w:p>
        </w:tc>
        <w:tc>
          <w:tcPr>
            <w:tcW w:w="4043"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1C47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实际完成目标</w:t>
            </w:r>
          </w:p>
        </w:tc>
      </w:tr>
      <w:tr w14:paraId="08457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80" w:hRule="atLeast"/>
        </w:trPr>
        <w:tc>
          <w:tcPr>
            <w:tcW w:w="97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C8F786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b/>
                <w:i w:val="0"/>
                <w:color w:val="000000"/>
                <w:sz w:val="20"/>
                <w:szCs w:val="20"/>
                <w:u w:val="none"/>
              </w:rPr>
            </w:pPr>
          </w:p>
        </w:tc>
        <w:tc>
          <w:tcPr>
            <w:tcW w:w="4631" w:type="dxa"/>
            <w:gridSpan w:val="10"/>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E909E3A">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完成11个科室和4个派驻机构的各项工作；做好全区网络保障、后勤保障、机要保密、档案管理、金融管理等工作。</w:t>
            </w:r>
          </w:p>
        </w:tc>
        <w:tc>
          <w:tcPr>
            <w:tcW w:w="4043" w:type="dxa"/>
            <w:gridSpan w:val="11"/>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905B32D">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围绕区委区政府中心工作，立足本职、服务大局、团结奋进、务实创新，进一步巩固发展“团结、紧张、严肃、活泼”的工作氛围，做好区委办、政府办文秘、发展研究和信息督查工作，当好参谋助手，有效推动了政府工作高效运转。完成了11个科室和四个派驻机构的各项工作；做好了全区办文办会、网络保障、后勤保障、机要保密、全区档案管理、金融管理等各项工作,保证区委办、政府办正常开展业务.</w:t>
            </w:r>
          </w:p>
        </w:tc>
      </w:tr>
      <w:tr w14:paraId="5B877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12D8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B2069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133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67CB7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120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A2D1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预期指标值</w:t>
            </w: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9E88C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指标设定依据</w:t>
            </w:r>
          </w:p>
        </w:tc>
        <w:tc>
          <w:tcPr>
            <w:tcW w:w="10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D8429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权重</w:t>
            </w:r>
          </w:p>
        </w:tc>
        <w:tc>
          <w:tcPr>
            <w:tcW w:w="9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96AD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实际完成指标值</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57162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得分</w:t>
            </w: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C46F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备注</w:t>
            </w:r>
          </w:p>
        </w:tc>
      </w:tr>
      <w:tr w14:paraId="29E3B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1AC35">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运行成本</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9B3D6">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33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EBD30">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“三公”经费控制率</w:t>
            </w:r>
          </w:p>
        </w:tc>
        <w:tc>
          <w:tcPr>
            <w:tcW w:w="120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4F942">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1A247B">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预算批复</w:t>
            </w:r>
          </w:p>
        </w:tc>
        <w:tc>
          <w:tcPr>
            <w:tcW w:w="10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C7BDC0">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9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B88303">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6909E">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FECF04">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r>
      <w:tr w14:paraId="64B47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BEE13">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管理效率</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C9FA88">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133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28526">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120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F36E8">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E2188">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10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CFD353">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9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5579BD">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A075F">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AE1C5">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r>
      <w:tr w14:paraId="00E95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6E41A">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履职效能</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62526">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33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80263A">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保障区委办政府办工作正常运转</w:t>
            </w:r>
          </w:p>
        </w:tc>
        <w:tc>
          <w:tcPr>
            <w:tcW w:w="120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9AFED">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E378A">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2024年工作计划</w:t>
            </w:r>
          </w:p>
        </w:tc>
        <w:tc>
          <w:tcPr>
            <w:tcW w:w="10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34340">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9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876E6">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22D21">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582D8">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r>
      <w:tr w14:paraId="1AF62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93422">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606CBA">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33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0DB17">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群众困难诉求办理及时率</w:t>
            </w:r>
          </w:p>
        </w:tc>
        <w:tc>
          <w:tcPr>
            <w:tcW w:w="120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858BC">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&gt;=90%</w:t>
            </w: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414EB8">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2024年工作计划</w:t>
            </w:r>
          </w:p>
        </w:tc>
        <w:tc>
          <w:tcPr>
            <w:tcW w:w="10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468F1">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9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7439A">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BC938">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FBDB80">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r>
      <w:tr w14:paraId="04A63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E4105">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7E859">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33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958BD">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议案提案办理答复率</w:t>
            </w:r>
          </w:p>
        </w:tc>
        <w:tc>
          <w:tcPr>
            <w:tcW w:w="120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FECCCF">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333BE">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2024年工作计划</w:t>
            </w:r>
          </w:p>
        </w:tc>
        <w:tc>
          <w:tcPr>
            <w:tcW w:w="10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B3B2D">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9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56956">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3C0BF">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FBF51">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r>
      <w:tr w14:paraId="28704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49DFD">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DFAFF">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133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A26C0">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120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51E71">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DE809">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10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D0962">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9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49A87">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36FCBB">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9A40DF">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r>
      <w:tr w14:paraId="03137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26923D">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可持续发展能力</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84064">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133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C6A97">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120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1EDB1">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B09F6">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10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AD8F1">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9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31689">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53891">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1EB51">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r>
      <w:tr w14:paraId="52A92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8AE6D">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3E6928">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133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77A91">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120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E410C">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C4E33C">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10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C6F20">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9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F123D">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CCB4B3">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6CA51C">
            <w:pPr>
              <w:keepNext w:val="0"/>
              <w:keepLines w:val="0"/>
              <w:pageBreakBefore w:val="0"/>
              <w:kinsoku/>
              <w:wordWrap/>
              <w:overflowPunct/>
              <w:topLinePunct w:val="0"/>
              <w:autoSpaceDE/>
              <w:autoSpaceDN/>
              <w:bidi w:val="0"/>
              <w:adjustRightInd/>
              <w:spacing w:line="560" w:lineRule="exact"/>
              <w:rPr>
                <w:rFonts w:hint="eastAsia" w:ascii="宋体" w:hAnsi="宋体" w:eastAsia="宋体" w:cs="宋体"/>
                <w:i w:val="0"/>
                <w:color w:val="000000"/>
                <w:sz w:val="20"/>
                <w:szCs w:val="20"/>
                <w:u w:val="none"/>
              </w:rPr>
            </w:pPr>
          </w:p>
        </w:tc>
      </w:tr>
      <w:tr w14:paraId="37FEB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979" w:type="dxa"/>
          <w:trHeight w:val="405" w:hRule="atLeast"/>
        </w:trPr>
        <w:tc>
          <w:tcPr>
            <w:tcW w:w="8670" w:type="dxa"/>
            <w:gridSpan w:val="22"/>
            <w:tcBorders>
              <w:top w:val="nil"/>
              <w:left w:val="nil"/>
              <w:bottom w:val="nil"/>
              <w:right w:val="nil"/>
            </w:tcBorders>
            <w:shd w:val="clear" w:color="auto" w:fill="auto"/>
            <w:tcMar>
              <w:top w:w="15" w:type="dxa"/>
              <w:left w:w="15" w:type="dxa"/>
              <w:right w:w="15" w:type="dxa"/>
            </w:tcMar>
            <w:vAlign w:val="center"/>
          </w:tcPr>
          <w:p w14:paraId="4CCD37A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59E0E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979" w:type="dxa"/>
          <w:trHeight w:val="270" w:hRule="atLeast"/>
        </w:trPr>
        <w:tc>
          <w:tcPr>
            <w:tcW w:w="8670" w:type="dxa"/>
            <w:gridSpan w:val="22"/>
            <w:tcBorders>
              <w:top w:val="nil"/>
              <w:left w:val="nil"/>
              <w:bottom w:val="nil"/>
              <w:right w:val="nil"/>
            </w:tcBorders>
            <w:shd w:val="clear" w:color="auto" w:fill="auto"/>
            <w:tcMar>
              <w:top w:w="15" w:type="dxa"/>
              <w:left w:w="15" w:type="dxa"/>
              <w:right w:w="15" w:type="dxa"/>
            </w:tcMar>
            <w:vAlign w:val="center"/>
          </w:tcPr>
          <w:p w14:paraId="20235FF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(2024年度)</w:t>
            </w:r>
          </w:p>
        </w:tc>
      </w:tr>
      <w:tr w14:paraId="43651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979" w:type="dxa"/>
          <w:trHeight w:val="499" w:hRule="atLeast"/>
        </w:trPr>
        <w:tc>
          <w:tcPr>
            <w:tcW w:w="13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D579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360" w:type="dxa"/>
            <w:gridSpan w:val="1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E5BB1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办公室专项</w:t>
            </w:r>
          </w:p>
        </w:tc>
      </w:tr>
      <w:tr w14:paraId="588D3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979" w:type="dxa"/>
          <w:trHeight w:val="499" w:hRule="atLeast"/>
        </w:trPr>
        <w:tc>
          <w:tcPr>
            <w:tcW w:w="13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B295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311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1D27B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区委、管委会（区政府）办公室</w:t>
            </w:r>
          </w:p>
        </w:tc>
        <w:tc>
          <w:tcPr>
            <w:tcW w:w="7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4508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3453"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E559F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乌鲁木齐经济技术开发区管理委员会（乌鲁木齐市头屯河区人民政府）办公室</w:t>
            </w:r>
          </w:p>
        </w:tc>
      </w:tr>
      <w:tr w14:paraId="3030E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979" w:type="dxa"/>
          <w:trHeight w:val="499" w:hRule="atLeast"/>
        </w:trPr>
        <w:tc>
          <w:tcPr>
            <w:tcW w:w="131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F0CAF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130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075F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8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5F485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7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CA025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1201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4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D5384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65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AC57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9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48BB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14:paraId="05807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979" w:type="dxa"/>
          <w:trHeight w:val="499" w:hRule="atLeast"/>
        </w:trPr>
        <w:tc>
          <w:tcPr>
            <w:tcW w:w="13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2F641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0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56C8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18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FDD3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33.00</w:t>
            </w:r>
          </w:p>
        </w:tc>
        <w:tc>
          <w:tcPr>
            <w:tcW w:w="7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3B6C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23B28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3.00</w:t>
            </w:r>
          </w:p>
        </w:tc>
        <w:tc>
          <w:tcPr>
            <w:tcW w:w="4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41C3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5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426F3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9.09%</w:t>
            </w:r>
          </w:p>
        </w:tc>
        <w:tc>
          <w:tcPr>
            <w:tcW w:w="9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2A84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0.91分</w:t>
            </w:r>
          </w:p>
        </w:tc>
      </w:tr>
      <w:tr w14:paraId="1609E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979" w:type="dxa"/>
          <w:trHeight w:val="499" w:hRule="atLeast"/>
        </w:trPr>
        <w:tc>
          <w:tcPr>
            <w:tcW w:w="13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3D69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0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8C37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18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47A56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w:t>
            </w:r>
          </w:p>
        </w:tc>
        <w:tc>
          <w:tcPr>
            <w:tcW w:w="7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7B2B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20C04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4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D8D8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5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1C25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9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2B76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5E17E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979" w:type="dxa"/>
          <w:trHeight w:val="499" w:hRule="atLeast"/>
        </w:trPr>
        <w:tc>
          <w:tcPr>
            <w:tcW w:w="13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AD36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0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5E591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18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897B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77992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0016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4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12CA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5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4154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9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C75B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57CEF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979" w:type="dxa"/>
          <w:trHeight w:val="499" w:hRule="atLeast"/>
        </w:trPr>
        <w:tc>
          <w:tcPr>
            <w:tcW w:w="6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19695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4573"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43B0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3453"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94DB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14:paraId="3E6CA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979" w:type="dxa"/>
          <w:trHeight w:val="2430"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81D6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573"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33C140CF">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围绕区委区政府中心工作，立足本职、服务大局、团结奋进、务实创新，进一步巩固发展“团结、紧张、严肃、活泼”的工作氛围，有效推动了政府工作高效运转。</w:t>
            </w:r>
          </w:p>
        </w:tc>
        <w:tc>
          <w:tcPr>
            <w:tcW w:w="3453"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701E5C5C">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做好了党务、政务方向的综合协调，提升工作人员满意度,进一步巩固发展“团结、紧张、严肃、活泼”的工作氛围，有效推动了政府工作高效运转。</w:t>
            </w:r>
          </w:p>
        </w:tc>
      </w:tr>
      <w:tr w14:paraId="59B96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979" w:type="dxa"/>
          <w:trHeight w:val="270" w:hRule="atLeast"/>
        </w:trPr>
        <w:tc>
          <w:tcPr>
            <w:tcW w:w="6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BD5B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B0A3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11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AE413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1949"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67E73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7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F33D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13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FE30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36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58C0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58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7DE5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20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44F68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14:paraId="5B23E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979" w:type="dxa"/>
          <w:trHeight w:val="345"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E659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0D09F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7EBF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94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170E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7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EDC9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00B9C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6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D75ED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8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21E2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0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8062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66A54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979" w:type="dxa"/>
          <w:trHeight w:val="600" w:hRule="atLeast"/>
        </w:trPr>
        <w:tc>
          <w:tcPr>
            <w:tcW w:w="6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1C46A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6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2EEA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1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744ED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94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F1F822">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购买办公用品次数</w:t>
            </w:r>
          </w:p>
        </w:tc>
        <w:tc>
          <w:tcPr>
            <w:tcW w:w="7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3C48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&gt;=4次</w:t>
            </w:r>
          </w:p>
        </w:tc>
        <w:tc>
          <w:tcPr>
            <w:tcW w:w="13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5037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=4次</w:t>
            </w:r>
          </w:p>
        </w:tc>
        <w:tc>
          <w:tcPr>
            <w:tcW w:w="36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7C15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9235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E896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67329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979" w:type="dxa"/>
          <w:trHeight w:val="600"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1C7A4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18BB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CD19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94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E22B03">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为民办实事次数</w:t>
            </w:r>
          </w:p>
        </w:tc>
        <w:tc>
          <w:tcPr>
            <w:tcW w:w="7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6CC2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=4次</w:t>
            </w:r>
          </w:p>
        </w:tc>
        <w:tc>
          <w:tcPr>
            <w:tcW w:w="13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FF5A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=0次</w:t>
            </w:r>
          </w:p>
        </w:tc>
        <w:tc>
          <w:tcPr>
            <w:tcW w:w="36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B99E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DA61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564A7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原因：正在走财政审批手续。措施：下一年度完成付款。</w:t>
            </w:r>
          </w:p>
        </w:tc>
      </w:tr>
      <w:tr w14:paraId="540D9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979" w:type="dxa"/>
          <w:trHeight w:val="600"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E7A0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F11D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9DB33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194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3B4A29">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资金使用合规率</w:t>
            </w:r>
          </w:p>
        </w:tc>
        <w:tc>
          <w:tcPr>
            <w:tcW w:w="7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D862E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3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CD2C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=9.1%</w:t>
            </w:r>
          </w:p>
        </w:tc>
        <w:tc>
          <w:tcPr>
            <w:tcW w:w="36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50EB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0CA2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0.91</w:t>
            </w:r>
          </w:p>
        </w:tc>
        <w:tc>
          <w:tcPr>
            <w:tcW w:w="1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2083F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原因：正在走财政审批手续。措施：下一年度完成付款。</w:t>
            </w:r>
          </w:p>
        </w:tc>
      </w:tr>
      <w:tr w14:paraId="12D3D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979" w:type="dxa"/>
          <w:trHeight w:val="600"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0124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72BD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F9E1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194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AD6DD">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资金支付及时率</w:t>
            </w:r>
          </w:p>
        </w:tc>
        <w:tc>
          <w:tcPr>
            <w:tcW w:w="7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057ED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&gt;=98%</w:t>
            </w:r>
          </w:p>
        </w:tc>
        <w:tc>
          <w:tcPr>
            <w:tcW w:w="13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F91F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=9.1%</w:t>
            </w:r>
          </w:p>
        </w:tc>
        <w:tc>
          <w:tcPr>
            <w:tcW w:w="36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2C75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0975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0.93</w:t>
            </w:r>
          </w:p>
        </w:tc>
        <w:tc>
          <w:tcPr>
            <w:tcW w:w="1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E98E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原因：正在走财政审批手续。措施：下一年度完成付款。</w:t>
            </w:r>
          </w:p>
        </w:tc>
      </w:tr>
      <w:tr w14:paraId="07949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979" w:type="dxa"/>
          <w:trHeight w:val="600"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80BC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64F20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1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F67C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194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2FA14">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办公用品采购成本</w:t>
            </w:r>
          </w:p>
        </w:tc>
        <w:tc>
          <w:tcPr>
            <w:tcW w:w="7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DDCD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&lt;=3万元</w:t>
            </w:r>
          </w:p>
        </w:tc>
        <w:tc>
          <w:tcPr>
            <w:tcW w:w="13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0B4D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=3万元</w:t>
            </w:r>
          </w:p>
        </w:tc>
        <w:tc>
          <w:tcPr>
            <w:tcW w:w="36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3FB4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1FDF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CB69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17709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979" w:type="dxa"/>
          <w:trHeight w:val="600"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CB14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8F23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5CD6E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94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9C419">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为民办实事成本</w:t>
            </w:r>
          </w:p>
        </w:tc>
        <w:tc>
          <w:tcPr>
            <w:tcW w:w="7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40902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&lt;=30万元</w:t>
            </w:r>
          </w:p>
        </w:tc>
        <w:tc>
          <w:tcPr>
            <w:tcW w:w="13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EEB83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=0万元</w:t>
            </w:r>
          </w:p>
        </w:tc>
        <w:tc>
          <w:tcPr>
            <w:tcW w:w="36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E877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BC26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D2EE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原因：正在走财政审批手续。措施：下一年度完成付款。</w:t>
            </w:r>
          </w:p>
        </w:tc>
      </w:tr>
      <w:tr w14:paraId="68EF3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979" w:type="dxa"/>
          <w:trHeight w:val="600"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AF3F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C2ED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11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8AFA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194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90242B">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提升为人民服务效率</w:t>
            </w:r>
          </w:p>
        </w:tc>
        <w:tc>
          <w:tcPr>
            <w:tcW w:w="7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D464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有效提升</w:t>
            </w:r>
          </w:p>
        </w:tc>
        <w:tc>
          <w:tcPr>
            <w:tcW w:w="13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7374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有效提升</w:t>
            </w:r>
          </w:p>
        </w:tc>
        <w:tc>
          <w:tcPr>
            <w:tcW w:w="36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390D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5CAA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D346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6AF01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979" w:type="dxa"/>
          <w:trHeight w:val="600"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9F5A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F19B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1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DE762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94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E3332B">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工作人员满意度</w:t>
            </w:r>
          </w:p>
        </w:tc>
        <w:tc>
          <w:tcPr>
            <w:tcW w:w="7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040A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13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F94D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36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7899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2D784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39A3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00877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979" w:type="dxa"/>
          <w:trHeight w:val="4"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91E7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CE8B8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2B72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2E9E307D">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953" w:type="dxa"/>
            <w:gridSpan w:val="2"/>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14A140E7">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863"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8951C02">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7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650D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EF6F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9"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4FA32F6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3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8CCD52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8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2F59173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99"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0453EA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0CED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E28BD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2E38F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979" w:type="dxa"/>
          <w:trHeight w:val="499" w:hRule="atLeast"/>
        </w:trPr>
        <w:tc>
          <w:tcPr>
            <w:tcW w:w="6521"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5483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36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77C3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AD9A2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52.75分</w:t>
            </w:r>
          </w:p>
        </w:tc>
        <w:tc>
          <w:tcPr>
            <w:tcW w:w="1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349E3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65997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979" w:type="dxa"/>
          <w:trHeight w:val="499" w:hRule="atLeast"/>
        </w:trPr>
        <w:tc>
          <w:tcPr>
            <w:tcW w:w="1310" w:type="dxa"/>
            <w:gridSpan w:val="3"/>
            <w:tcBorders>
              <w:top w:val="single" w:color="000000" w:sz="4" w:space="0"/>
              <w:left w:val="nil"/>
              <w:bottom w:val="nil"/>
              <w:right w:val="nil"/>
            </w:tcBorders>
            <w:shd w:val="clear" w:color="auto" w:fill="auto"/>
            <w:tcMar>
              <w:top w:w="15" w:type="dxa"/>
              <w:left w:w="15" w:type="dxa"/>
              <w:right w:w="15" w:type="dxa"/>
            </w:tcMar>
            <w:vAlign w:val="center"/>
          </w:tcPr>
          <w:p w14:paraId="2FAFF107">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经办人：</w:t>
            </w:r>
          </w:p>
        </w:tc>
        <w:tc>
          <w:tcPr>
            <w:tcW w:w="2254" w:type="dxa"/>
            <w:gridSpan w:val="5"/>
            <w:tcBorders>
              <w:top w:val="single" w:color="000000" w:sz="4" w:space="0"/>
              <w:left w:val="nil"/>
              <w:bottom w:val="nil"/>
              <w:right w:val="nil"/>
            </w:tcBorders>
            <w:shd w:val="clear" w:color="auto" w:fill="auto"/>
            <w:tcMar>
              <w:top w:w="15" w:type="dxa"/>
              <w:left w:w="15" w:type="dxa"/>
              <w:right w:w="15" w:type="dxa"/>
            </w:tcMar>
            <w:vAlign w:val="center"/>
          </w:tcPr>
          <w:p w14:paraId="3AB73A24">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江先生</w:t>
            </w:r>
          </w:p>
        </w:tc>
        <w:tc>
          <w:tcPr>
            <w:tcW w:w="3086" w:type="dxa"/>
            <w:gridSpan w:val="7"/>
            <w:tcBorders>
              <w:top w:val="single" w:color="000000" w:sz="4" w:space="0"/>
              <w:left w:val="nil"/>
              <w:bottom w:val="nil"/>
              <w:right w:val="nil"/>
            </w:tcBorders>
            <w:shd w:val="clear" w:color="auto" w:fill="auto"/>
            <w:tcMar>
              <w:top w:w="15" w:type="dxa"/>
              <w:left w:w="15" w:type="dxa"/>
              <w:right w:w="15" w:type="dxa"/>
            </w:tcMar>
            <w:vAlign w:val="center"/>
          </w:tcPr>
          <w:p w14:paraId="1B5C4558">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2020" w:type="dxa"/>
            <w:gridSpan w:val="7"/>
            <w:tcBorders>
              <w:top w:val="single" w:color="000000" w:sz="4" w:space="0"/>
              <w:left w:val="nil"/>
              <w:bottom w:val="nil"/>
              <w:right w:val="nil"/>
            </w:tcBorders>
            <w:shd w:val="clear" w:color="auto" w:fill="auto"/>
            <w:tcMar>
              <w:top w:w="15" w:type="dxa"/>
              <w:left w:w="15" w:type="dxa"/>
              <w:right w:w="15" w:type="dxa"/>
            </w:tcMar>
            <w:vAlign w:val="center"/>
          </w:tcPr>
          <w:p w14:paraId="0F3E5AC6">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r>
      <w:tr w14:paraId="2261C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979" w:type="dxa"/>
          <w:trHeight w:val="499" w:hRule="atLeast"/>
        </w:trPr>
        <w:tc>
          <w:tcPr>
            <w:tcW w:w="1310" w:type="dxa"/>
            <w:gridSpan w:val="3"/>
            <w:tcBorders>
              <w:top w:val="nil"/>
              <w:left w:val="nil"/>
              <w:bottom w:val="nil"/>
              <w:right w:val="nil"/>
            </w:tcBorders>
            <w:shd w:val="clear" w:color="auto" w:fill="auto"/>
            <w:noWrap/>
            <w:tcMar>
              <w:top w:w="15" w:type="dxa"/>
              <w:left w:w="15" w:type="dxa"/>
              <w:right w:w="15" w:type="dxa"/>
            </w:tcMar>
            <w:vAlign w:val="center"/>
          </w:tcPr>
          <w:p w14:paraId="533AA995">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联系人：</w:t>
            </w:r>
          </w:p>
        </w:tc>
        <w:tc>
          <w:tcPr>
            <w:tcW w:w="2254" w:type="dxa"/>
            <w:gridSpan w:val="5"/>
            <w:tcBorders>
              <w:top w:val="nil"/>
              <w:left w:val="nil"/>
              <w:bottom w:val="nil"/>
              <w:right w:val="nil"/>
            </w:tcBorders>
            <w:shd w:val="clear" w:color="auto" w:fill="auto"/>
            <w:noWrap/>
            <w:tcMar>
              <w:top w:w="15" w:type="dxa"/>
              <w:left w:w="15" w:type="dxa"/>
              <w:right w:w="15" w:type="dxa"/>
            </w:tcMar>
            <w:vAlign w:val="center"/>
          </w:tcPr>
          <w:p w14:paraId="400A6743">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李先生</w:t>
            </w:r>
          </w:p>
        </w:tc>
        <w:tc>
          <w:tcPr>
            <w:tcW w:w="3086" w:type="dxa"/>
            <w:gridSpan w:val="7"/>
            <w:tcBorders>
              <w:top w:val="nil"/>
              <w:left w:val="nil"/>
              <w:bottom w:val="nil"/>
              <w:right w:val="nil"/>
            </w:tcBorders>
            <w:shd w:val="clear" w:color="auto" w:fill="auto"/>
            <w:noWrap/>
            <w:tcMar>
              <w:top w:w="15" w:type="dxa"/>
              <w:left w:w="15" w:type="dxa"/>
              <w:right w:w="15" w:type="dxa"/>
            </w:tcMar>
            <w:vAlign w:val="center"/>
          </w:tcPr>
          <w:p w14:paraId="2DCD2FFF">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2020" w:type="dxa"/>
            <w:gridSpan w:val="7"/>
            <w:tcBorders>
              <w:top w:val="nil"/>
              <w:left w:val="nil"/>
              <w:bottom w:val="nil"/>
              <w:right w:val="nil"/>
            </w:tcBorders>
            <w:shd w:val="clear" w:color="auto" w:fill="auto"/>
            <w:noWrap/>
            <w:tcMar>
              <w:top w:w="15" w:type="dxa"/>
              <w:left w:w="15" w:type="dxa"/>
              <w:right w:w="15" w:type="dxa"/>
            </w:tcMar>
            <w:vAlign w:val="center"/>
          </w:tcPr>
          <w:p w14:paraId="5C5E33A7">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18040816999</w:t>
            </w:r>
          </w:p>
        </w:tc>
      </w:tr>
    </w:tbl>
    <w:p w14:paraId="2227C4E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b w:val="0"/>
          <w:sz w:val="32"/>
          <w:szCs w:val="32"/>
        </w:rPr>
      </w:pPr>
    </w:p>
    <w:tbl>
      <w:tblPr>
        <w:tblStyle w:val="5"/>
        <w:tblpPr w:leftFromText="180" w:rightFromText="180" w:vertAnchor="text" w:horzAnchor="page" w:tblpX="1781" w:tblpY="407"/>
        <w:tblOverlap w:val="never"/>
        <w:tblW w:w="86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72"/>
        <w:gridCol w:w="622"/>
        <w:gridCol w:w="1010"/>
        <w:gridCol w:w="141"/>
        <w:gridCol w:w="933"/>
        <w:gridCol w:w="871"/>
        <w:gridCol w:w="792"/>
        <w:gridCol w:w="1448"/>
        <w:gridCol w:w="136"/>
        <w:gridCol w:w="245"/>
        <w:gridCol w:w="201"/>
        <w:gridCol w:w="409"/>
        <w:gridCol w:w="364"/>
        <w:gridCol w:w="926"/>
      </w:tblGrid>
      <w:tr w14:paraId="03F64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8670" w:type="dxa"/>
            <w:gridSpan w:val="14"/>
            <w:tcBorders>
              <w:top w:val="nil"/>
              <w:left w:val="nil"/>
              <w:bottom w:val="nil"/>
              <w:right w:val="nil"/>
            </w:tcBorders>
            <w:shd w:val="clear" w:color="auto" w:fill="auto"/>
            <w:tcMar>
              <w:top w:w="15" w:type="dxa"/>
              <w:left w:w="15" w:type="dxa"/>
              <w:right w:w="15" w:type="dxa"/>
            </w:tcMar>
            <w:vAlign w:val="center"/>
          </w:tcPr>
          <w:p w14:paraId="0B98EBA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7CF0D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8670" w:type="dxa"/>
            <w:gridSpan w:val="14"/>
            <w:tcBorders>
              <w:top w:val="nil"/>
              <w:left w:val="nil"/>
              <w:bottom w:val="nil"/>
              <w:right w:val="nil"/>
            </w:tcBorders>
            <w:shd w:val="clear" w:color="auto" w:fill="auto"/>
            <w:tcMar>
              <w:top w:w="15" w:type="dxa"/>
              <w:left w:w="15" w:type="dxa"/>
              <w:right w:w="15" w:type="dxa"/>
            </w:tcMar>
            <w:vAlign w:val="center"/>
          </w:tcPr>
          <w:p w14:paraId="2C6ED1C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(2024年度)</w:t>
            </w:r>
          </w:p>
        </w:tc>
      </w:tr>
      <w:tr w14:paraId="6D8F6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1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9057F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476"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CA4F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规划分局专项</w:t>
            </w:r>
          </w:p>
        </w:tc>
      </w:tr>
      <w:tr w14:paraId="25A21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1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61C7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29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C079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区委、管委会（区政府）办公室</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F24C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372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271A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乌鲁木齐经济技术开发区管理委员会（乌鲁木齐市头屯河区人民政府）办公室</w:t>
            </w:r>
          </w:p>
        </w:tc>
      </w:tr>
      <w:tr w14:paraId="6948A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19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5143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11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59C6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8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42C5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CC53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5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BEE9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4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E8B6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7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1066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80EE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14:paraId="1F693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19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1B36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067EF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18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8FDC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48B41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5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737BC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0.70</w:t>
            </w:r>
          </w:p>
        </w:tc>
        <w:tc>
          <w:tcPr>
            <w:tcW w:w="4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3A61F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D906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70.00%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586B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7.00分</w:t>
            </w:r>
          </w:p>
        </w:tc>
      </w:tr>
      <w:tr w14:paraId="5AB53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19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E1B1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D127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18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CADB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748B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5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F4C1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0.7</w:t>
            </w:r>
          </w:p>
        </w:tc>
        <w:tc>
          <w:tcPr>
            <w:tcW w:w="4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1C50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EFA4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D2E2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567C5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19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9324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FE3A9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18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B3E9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98042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5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3875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4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352A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AD3B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001C2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336A7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5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4A3E8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436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D85E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372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F1AF6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14:paraId="3057F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3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7B23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36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33B8E9EB">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,围绕自治区、乌鲁木齐市经济技术开发区（头屯河区）城市规划，工作职责结合和业务活动进行阐述。贯彻落实自治区党委决策部署和市委、区委各项工作要求，积极推进我区经济高质量发展</w:t>
            </w:r>
          </w:p>
        </w:tc>
        <w:tc>
          <w:tcPr>
            <w:tcW w:w="372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0766A15A">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做好了党务、政务方向的综合协调，提升工作人员满意度。截至2024年12月31日，项目支付0.7万元，用于贯彻落实了自治区党委决策部署和市委、区委各项工作要求，积极推进我区经济高质量发展，提升了工作人员满意度。</w:t>
            </w:r>
          </w:p>
        </w:tc>
      </w:tr>
      <w:tr w14:paraId="1C965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5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7480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AB197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10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5DA7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194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1A4D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8226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14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C775A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38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79DE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6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B361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2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9C12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14:paraId="35030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93F9C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3E8E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FF2A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9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B7ED7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F393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F971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7CD3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F61D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E3CD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3B38D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5826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6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437EA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0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4E4BF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9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766B7">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购买办公用品数量</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F49F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&lt;=4次</w:t>
            </w:r>
          </w:p>
        </w:tc>
        <w:tc>
          <w:tcPr>
            <w:tcW w:w="14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DE27A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=2次</w:t>
            </w:r>
          </w:p>
        </w:tc>
        <w:tc>
          <w:tcPr>
            <w:tcW w:w="3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031BD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D5E22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DECE0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原因：正在走财政审批手续。措施：下一步按进度及时支付。</w:t>
            </w:r>
          </w:p>
        </w:tc>
      </w:tr>
      <w:tr w14:paraId="66DD0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A178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34814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49EFA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9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FE4E74">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支付电话费数量</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B57AD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&lt;=12个月</w:t>
            </w:r>
          </w:p>
        </w:tc>
        <w:tc>
          <w:tcPr>
            <w:tcW w:w="14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2C9B9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=12个月</w:t>
            </w:r>
          </w:p>
        </w:tc>
        <w:tc>
          <w:tcPr>
            <w:tcW w:w="3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BA69E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56C7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18B4C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6AAA9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43BB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DB20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8BE2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19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0280A8">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办公用品合格率</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D755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BE21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812F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44A76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5A6F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23668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454B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0F2A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CEB5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19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D73C5A">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按季度购买办公用品</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2BFD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&gt;=98%</w:t>
            </w:r>
          </w:p>
        </w:tc>
        <w:tc>
          <w:tcPr>
            <w:tcW w:w="14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6D8F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=98%</w:t>
            </w:r>
          </w:p>
        </w:tc>
        <w:tc>
          <w:tcPr>
            <w:tcW w:w="3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40F6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3D976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5F38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3BF92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3B03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F9E4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0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C64F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19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F578B">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购买办公用品成本</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D6A57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&lt;=0.5万元</w:t>
            </w:r>
          </w:p>
        </w:tc>
        <w:tc>
          <w:tcPr>
            <w:tcW w:w="14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7909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=0.31万元</w:t>
            </w:r>
          </w:p>
        </w:tc>
        <w:tc>
          <w:tcPr>
            <w:tcW w:w="3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859E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A368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6.2</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E698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原因：正在走财政审批手续。措施：下一步按进度及时支付。</w:t>
            </w:r>
          </w:p>
        </w:tc>
      </w:tr>
      <w:tr w14:paraId="3A574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BBB9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60EB3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2443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9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21732C">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支付电话费成本</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2436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&lt;=0.5万元</w:t>
            </w:r>
          </w:p>
        </w:tc>
        <w:tc>
          <w:tcPr>
            <w:tcW w:w="14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8304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=0.39万元</w:t>
            </w:r>
          </w:p>
        </w:tc>
        <w:tc>
          <w:tcPr>
            <w:tcW w:w="3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A83E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E1F0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7.8</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ABAE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原因：正在走财政审批手续。措施：下一步按进度及时支付。</w:t>
            </w:r>
          </w:p>
        </w:tc>
      </w:tr>
      <w:tr w14:paraId="4F999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2463D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1537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1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9B997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19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947B22">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提高工作效率</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A69E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保证办公便利</w:t>
            </w:r>
          </w:p>
        </w:tc>
        <w:tc>
          <w:tcPr>
            <w:tcW w:w="14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2B86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保证办公便利</w:t>
            </w:r>
          </w:p>
        </w:tc>
        <w:tc>
          <w:tcPr>
            <w:tcW w:w="3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4BA8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6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A8D5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029A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13E20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9E44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0014F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28FD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9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83B66A">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使用办公用品满意度</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EC5DB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D8E3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8093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05CC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7CDD7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27F9C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0B4F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56DF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9F21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41"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1A14E18">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933"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12109A58">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87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E76AF71">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0B000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4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CE00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4D5185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4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21C82B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01"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474B29E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09"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136E91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A392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2BFD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750FE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638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538B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3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81A9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6DA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86.00分</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40100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7F103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194" w:type="dxa"/>
            <w:gridSpan w:val="2"/>
            <w:tcBorders>
              <w:top w:val="single" w:color="000000" w:sz="4" w:space="0"/>
              <w:left w:val="nil"/>
              <w:bottom w:val="nil"/>
              <w:right w:val="nil"/>
            </w:tcBorders>
            <w:shd w:val="clear" w:color="auto" w:fill="auto"/>
            <w:tcMar>
              <w:top w:w="15" w:type="dxa"/>
              <w:left w:w="15" w:type="dxa"/>
              <w:right w:w="15" w:type="dxa"/>
            </w:tcMar>
            <w:vAlign w:val="center"/>
          </w:tcPr>
          <w:p w14:paraId="084CB1CF">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经办人：</w:t>
            </w:r>
          </w:p>
        </w:tc>
        <w:tc>
          <w:tcPr>
            <w:tcW w:w="2084" w:type="dxa"/>
            <w:gridSpan w:val="3"/>
            <w:tcBorders>
              <w:top w:val="single" w:color="000000" w:sz="4" w:space="0"/>
              <w:left w:val="nil"/>
              <w:bottom w:val="nil"/>
              <w:right w:val="nil"/>
            </w:tcBorders>
            <w:shd w:val="clear" w:color="auto" w:fill="auto"/>
            <w:tcMar>
              <w:top w:w="15" w:type="dxa"/>
              <w:left w:w="15" w:type="dxa"/>
              <w:right w:w="15" w:type="dxa"/>
            </w:tcMar>
            <w:vAlign w:val="center"/>
          </w:tcPr>
          <w:p w14:paraId="320618C2">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张先生</w:t>
            </w:r>
          </w:p>
        </w:tc>
        <w:tc>
          <w:tcPr>
            <w:tcW w:w="3247" w:type="dxa"/>
            <w:gridSpan w:val="4"/>
            <w:tcBorders>
              <w:top w:val="single" w:color="000000" w:sz="4" w:space="0"/>
              <w:left w:val="nil"/>
              <w:bottom w:val="nil"/>
              <w:right w:val="nil"/>
            </w:tcBorders>
            <w:shd w:val="clear" w:color="auto" w:fill="auto"/>
            <w:tcMar>
              <w:top w:w="15" w:type="dxa"/>
              <w:left w:w="15" w:type="dxa"/>
              <w:right w:w="15" w:type="dxa"/>
            </w:tcMar>
            <w:vAlign w:val="center"/>
          </w:tcPr>
          <w:p w14:paraId="4BAEFA9F">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2145" w:type="dxa"/>
            <w:gridSpan w:val="5"/>
            <w:tcBorders>
              <w:top w:val="single" w:color="000000" w:sz="4" w:space="0"/>
              <w:left w:val="nil"/>
              <w:bottom w:val="nil"/>
              <w:right w:val="nil"/>
            </w:tcBorders>
            <w:shd w:val="clear" w:color="auto" w:fill="auto"/>
            <w:tcMar>
              <w:top w:w="15" w:type="dxa"/>
              <w:left w:w="15" w:type="dxa"/>
              <w:right w:w="15" w:type="dxa"/>
            </w:tcMar>
            <w:vAlign w:val="center"/>
          </w:tcPr>
          <w:p w14:paraId="230E1A4A">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r>
      <w:tr w14:paraId="057E4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194" w:type="dxa"/>
            <w:gridSpan w:val="2"/>
            <w:tcBorders>
              <w:top w:val="nil"/>
              <w:left w:val="nil"/>
              <w:bottom w:val="nil"/>
              <w:right w:val="nil"/>
            </w:tcBorders>
            <w:shd w:val="clear" w:color="auto" w:fill="auto"/>
            <w:noWrap/>
            <w:tcMar>
              <w:top w:w="15" w:type="dxa"/>
              <w:left w:w="15" w:type="dxa"/>
              <w:right w:w="15" w:type="dxa"/>
            </w:tcMar>
            <w:vAlign w:val="center"/>
          </w:tcPr>
          <w:p w14:paraId="18AD250E">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联系人：</w:t>
            </w:r>
          </w:p>
        </w:tc>
        <w:tc>
          <w:tcPr>
            <w:tcW w:w="2084" w:type="dxa"/>
            <w:gridSpan w:val="3"/>
            <w:tcBorders>
              <w:top w:val="nil"/>
              <w:left w:val="nil"/>
              <w:bottom w:val="nil"/>
              <w:right w:val="nil"/>
            </w:tcBorders>
            <w:shd w:val="clear" w:color="auto" w:fill="auto"/>
            <w:noWrap/>
            <w:tcMar>
              <w:top w:w="15" w:type="dxa"/>
              <w:left w:w="15" w:type="dxa"/>
              <w:right w:w="15" w:type="dxa"/>
            </w:tcMar>
            <w:vAlign w:val="center"/>
          </w:tcPr>
          <w:p w14:paraId="1108BAA3">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巴先生</w:t>
            </w:r>
          </w:p>
        </w:tc>
        <w:tc>
          <w:tcPr>
            <w:tcW w:w="3247" w:type="dxa"/>
            <w:gridSpan w:val="4"/>
            <w:tcBorders>
              <w:top w:val="nil"/>
              <w:left w:val="nil"/>
              <w:bottom w:val="nil"/>
              <w:right w:val="nil"/>
            </w:tcBorders>
            <w:shd w:val="clear" w:color="auto" w:fill="auto"/>
            <w:noWrap/>
            <w:tcMar>
              <w:top w:w="15" w:type="dxa"/>
              <w:left w:w="15" w:type="dxa"/>
              <w:right w:w="15" w:type="dxa"/>
            </w:tcMar>
            <w:vAlign w:val="center"/>
          </w:tcPr>
          <w:p w14:paraId="2B3C4DFF">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2145" w:type="dxa"/>
            <w:gridSpan w:val="5"/>
            <w:tcBorders>
              <w:top w:val="nil"/>
              <w:left w:val="nil"/>
              <w:bottom w:val="nil"/>
              <w:right w:val="nil"/>
            </w:tcBorders>
            <w:shd w:val="clear" w:color="auto" w:fill="auto"/>
            <w:noWrap/>
            <w:tcMar>
              <w:top w:w="15" w:type="dxa"/>
              <w:left w:w="15" w:type="dxa"/>
              <w:right w:w="15" w:type="dxa"/>
            </w:tcMar>
            <w:vAlign w:val="center"/>
          </w:tcPr>
          <w:p w14:paraId="0AA4AC26">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18040816999</w:t>
            </w:r>
          </w:p>
        </w:tc>
      </w:tr>
    </w:tbl>
    <w:p w14:paraId="08E45A50">
      <w:pPr>
        <w:pStyle w:val="2"/>
        <w:keepNext w:val="0"/>
        <w:keepLines w:val="0"/>
        <w:pageBreakBefore w:val="0"/>
        <w:kinsoku/>
        <w:wordWrap/>
        <w:overflowPunct/>
        <w:topLinePunct w:val="0"/>
        <w:autoSpaceDE/>
        <w:autoSpaceDN/>
        <w:bidi w:val="0"/>
        <w:adjustRightInd/>
        <w:spacing w:line="560" w:lineRule="exact"/>
        <w:rPr>
          <w:rFonts w:ascii="黑体" w:eastAsia="黑体"/>
          <w:b w:val="0"/>
          <w:sz w:val="32"/>
          <w:szCs w:val="32"/>
        </w:rPr>
      </w:pPr>
    </w:p>
    <w:tbl>
      <w:tblPr>
        <w:tblStyle w:val="5"/>
        <w:tblpPr w:leftFromText="180" w:rightFromText="180" w:vertAnchor="text" w:horzAnchor="page" w:tblpX="1513" w:tblpY="410"/>
        <w:tblOverlap w:val="never"/>
        <w:tblW w:w="920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04"/>
        <w:gridCol w:w="638"/>
        <w:gridCol w:w="1152"/>
        <w:gridCol w:w="150"/>
        <w:gridCol w:w="990"/>
        <w:gridCol w:w="922"/>
        <w:gridCol w:w="772"/>
        <w:gridCol w:w="1429"/>
        <w:gridCol w:w="126"/>
        <w:gridCol w:w="233"/>
        <w:gridCol w:w="182"/>
        <w:gridCol w:w="390"/>
        <w:gridCol w:w="295"/>
        <w:gridCol w:w="1225"/>
      </w:tblGrid>
      <w:tr w14:paraId="2EF25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9208" w:type="dxa"/>
            <w:gridSpan w:val="14"/>
            <w:tcBorders>
              <w:top w:val="nil"/>
              <w:left w:val="nil"/>
              <w:bottom w:val="nil"/>
              <w:right w:val="nil"/>
            </w:tcBorders>
            <w:shd w:val="clear" w:color="auto" w:fill="auto"/>
            <w:tcMar>
              <w:top w:w="15" w:type="dxa"/>
              <w:left w:w="15" w:type="dxa"/>
              <w:right w:w="15" w:type="dxa"/>
            </w:tcMar>
            <w:vAlign w:val="center"/>
          </w:tcPr>
          <w:p w14:paraId="1B92F79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3BE2B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9208" w:type="dxa"/>
            <w:gridSpan w:val="14"/>
            <w:tcBorders>
              <w:top w:val="nil"/>
              <w:left w:val="nil"/>
              <w:bottom w:val="nil"/>
              <w:right w:val="nil"/>
            </w:tcBorders>
            <w:shd w:val="clear" w:color="auto" w:fill="auto"/>
            <w:tcMar>
              <w:top w:w="15" w:type="dxa"/>
              <w:left w:w="15" w:type="dxa"/>
              <w:right w:w="15" w:type="dxa"/>
            </w:tcMar>
            <w:vAlign w:val="center"/>
          </w:tcPr>
          <w:p w14:paraId="4BF4CFE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(2024年度)</w:t>
            </w:r>
          </w:p>
        </w:tc>
      </w:tr>
      <w:tr w14:paraId="6D0E6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AF3D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866"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45D9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生态环境分局专项</w:t>
            </w:r>
          </w:p>
        </w:tc>
      </w:tr>
      <w:tr w14:paraId="3152F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A67C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321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B811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区委、管委会（区政府）办公室</w:t>
            </w:r>
          </w:p>
        </w:tc>
        <w:tc>
          <w:tcPr>
            <w:tcW w:w="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B74D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388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1522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乌鲁木齐经济技术开发区管理委员会（乌鲁木齐市头屯河区人民政府）办公室</w:t>
            </w:r>
          </w:p>
        </w:tc>
      </w:tr>
      <w:tr w14:paraId="1CAAE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3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CB12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13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D6F83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9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622C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2357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E160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4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C38B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53B0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1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ED6A7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14:paraId="6423C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3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03613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CB5B1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19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B52F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3352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57CC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0.05</w:t>
            </w:r>
          </w:p>
        </w:tc>
        <w:tc>
          <w:tcPr>
            <w:tcW w:w="4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D6307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B690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1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09DB6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0.50分</w:t>
            </w:r>
          </w:p>
        </w:tc>
      </w:tr>
      <w:tr w14:paraId="4940A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3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2A9D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1363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19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9712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C4AE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AC2A1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0.051</w:t>
            </w:r>
          </w:p>
        </w:tc>
        <w:tc>
          <w:tcPr>
            <w:tcW w:w="4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4A2E3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BD0D2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B50E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0257A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3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6910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4617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19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4281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88939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6FADD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4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7B43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BB24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E057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18E1E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34044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462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2FDE6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388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A4D4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14:paraId="4C78E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30" w:hRule="atLeast"/>
        </w:trPr>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46A50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62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6865AF1A">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弥补公用经费项目的绩效目标保障分局正常运转，为区生态环境领域业务工作开展提供有力后勤保障，不断提升生态环境管理水平。</w:t>
            </w:r>
          </w:p>
        </w:tc>
        <w:tc>
          <w:tcPr>
            <w:tcW w:w="388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6698A6A">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截至2024年12月31日，项目支出0.051万元，保障了分局正常运转，为区生态环境领域业务工作开展提供了有力后勤保障。</w:t>
            </w:r>
          </w:p>
        </w:tc>
      </w:tr>
      <w:tr w14:paraId="22C8A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C35C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3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4308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8FA5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06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F8E4B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7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2100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1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321B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35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0E9B8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5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CA4C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5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B10B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14:paraId="599A3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E4E8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77DE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9E90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0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100A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0C13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0F39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BF96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B169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5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0218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23915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8B7B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63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9757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F170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06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031E0">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保障办公经费人数</w:t>
            </w:r>
          </w:p>
        </w:tc>
        <w:tc>
          <w:tcPr>
            <w:tcW w:w="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84E4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&gt;=34人</w:t>
            </w:r>
          </w:p>
        </w:tc>
        <w:tc>
          <w:tcPr>
            <w:tcW w:w="14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1949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=38人</w:t>
            </w:r>
          </w:p>
        </w:tc>
        <w:tc>
          <w:tcPr>
            <w:tcW w:w="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F257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0A60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5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AD41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原因：正在进行财政审批手续，改进措施：下一年度按进度及时支付。</w:t>
            </w:r>
          </w:p>
        </w:tc>
      </w:tr>
      <w:tr w14:paraId="70302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50D29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6FEB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364E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06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1024BC">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购买打印纸</w:t>
            </w:r>
          </w:p>
        </w:tc>
        <w:tc>
          <w:tcPr>
            <w:tcW w:w="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0A7C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&gt;=1次</w:t>
            </w:r>
          </w:p>
        </w:tc>
        <w:tc>
          <w:tcPr>
            <w:tcW w:w="14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F5D6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=1次</w:t>
            </w:r>
          </w:p>
        </w:tc>
        <w:tc>
          <w:tcPr>
            <w:tcW w:w="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F5E45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0A2E7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5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375E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6E570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D9FA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134C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E45C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06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297670">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办公用品验收合格率</w:t>
            </w:r>
          </w:p>
        </w:tc>
        <w:tc>
          <w:tcPr>
            <w:tcW w:w="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28535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14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446AB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5A85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64E5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5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6985A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1A892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F98A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45D0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9C350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06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C59B56">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办公用品及时投入使用</w:t>
            </w:r>
          </w:p>
        </w:tc>
        <w:tc>
          <w:tcPr>
            <w:tcW w:w="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A953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14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53872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9416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3A137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5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9546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31299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173D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99CF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1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4B575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206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4F43F">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办公经费成本</w:t>
            </w:r>
          </w:p>
        </w:tc>
        <w:tc>
          <w:tcPr>
            <w:tcW w:w="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691D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&lt;=1万元</w:t>
            </w:r>
          </w:p>
        </w:tc>
        <w:tc>
          <w:tcPr>
            <w:tcW w:w="14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9D5A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=0.051万元</w:t>
            </w:r>
          </w:p>
        </w:tc>
        <w:tc>
          <w:tcPr>
            <w:tcW w:w="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AD12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5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7D44C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1.02</w:t>
            </w:r>
          </w:p>
        </w:tc>
        <w:tc>
          <w:tcPr>
            <w:tcW w:w="15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71A1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原因：正在进行财政审批手续，改进措施：下一年度按进度及时支付。</w:t>
            </w:r>
          </w:p>
        </w:tc>
      </w:tr>
      <w:tr w14:paraId="57992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6FD3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24F1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11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89CF2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06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8C1C6E">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有效保障单位正常运行</w:t>
            </w:r>
          </w:p>
        </w:tc>
        <w:tc>
          <w:tcPr>
            <w:tcW w:w="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A114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w:t>
            </w:r>
          </w:p>
        </w:tc>
        <w:tc>
          <w:tcPr>
            <w:tcW w:w="14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FFB2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w:t>
            </w:r>
          </w:p>
        </w:tc>
        <w:tc>
          <w:tcPr>
            <w:tcW w:w="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DA5D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5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3A57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5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693E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1CBA2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E1A5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B833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1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4633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206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820B98">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工作人员满意度</w:t>
            </w:r>
          </w:p>
        </w:tc>
        <w:tc>
          <w:tcPr>
            <w:tcW w:w="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1F5D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14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6CD4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4FC8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3D58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5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AB64D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51616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6505F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FEC0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73FC5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5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26BF057">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990"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750B9524">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9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BC93D63">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40E4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4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ED36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2F56EB0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3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C6D30F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82"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073050E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9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93009F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F84D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9250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17035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6757"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CE05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C847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5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0C65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71.52分</w:t>
            </w:r>
          </w:p>
        </w:tc>
        <w:tc>
          <w:tcPr>
            <w:tcW w:w="15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673DC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05B30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342" w:type="dxa"/>
            <w:gridSpan w:val="2"/>
            <w:tcBorders>
              <w:top w:val="single" w:color="000000" w:sz="4" w:space="0"/>
              <w:left w:val="nil"/>
              <w:bottom w:val="nil"/>
              <w:right w:val="nil"/>
            </w:tcBorders>
            <w:shd w:val="clear" w:color="auto" w:fill="auto"/>
            <w:tcMar>
              <w:top w:w="15" w:type="dxa"/>
              <w:left w:w="15" w:type="dxa"/>
              <w:right w:w="15" w:type="dxa"/>
            </w:tcMar>
            <w:vAlign w:val="center"/>
          </w:tcPr>
          <w:p w14:paraId="71E20770">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经办人：</w:t>
            </w:r>
          </w:p>
        </w:tc>
        <w:tc>
          <w:tcPr>
            <w:tcW w:w="2292" w:type="dxa"/>
            <w:gridSpan w:val="3"/>
            <w:tcBorders>
              <w:top w:val="single" w:color="000000" w:sz="4" w:space="0"/>
              <w:left w:val="nil"/>
              <w:bottom w:val="nil"/>
              <w:right w:val="nil"/>
            </w:tcBorders>
            <w:shd w:val="clear" w:color="auto" w:fill="auto"/>
            <w:tcMar>
              <w:top w:w="15" w:type="dxa"/>
              <w:left w:w="15" w:type="dxa"/>
              <w:right w:w="15" w:type="dxa"/>
            </w:tcMar>
            <w:vAlign w:val="center"/>
          </w:tcPr>
          <w:p w14:paraId="65A67C13">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尤先生</w:t>
            </w:r>
          </w:p>
        </w:tc>
        <w:tc>
          <w:tcPr>
            <w:tcW w:w="3249" w:type="dxa"/>
            <w:gridSpan w:val="4"/>
            <w:tcBorders>
              <w:top w:val="single" w:color="000000" w:sz="4" w:space="0"/>
              <w:left w:val="nil"/>
              <w:bottom w:val="nil"/>
              <w:right w:val="nil"/>
            </w:tcBorders>
            <w:shd w:val="clear" w:color="auto" w:fill="auto"/>
            <w:tcMar>
              <w:top w:w="15" w:type="dxa"/>
              <w:left w:w="15" w:type="dxa"/>
              <w:right w:w="15" w:type="dxa"/>
            </w:tcMar>
            <w:vAlign w:val="center"/>
          </w:tcPr>
          <w:p w14:paraId="0077DD3F">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2325" w:type="dxa"/>
            <w:gridSpan w:val="5"/>
            <w:tcBorders>
              <w:top w:val="single" w:color="000000" w:sz="4" w:space="0"/>
              <w:left w:val="nil"/>
              <w:bottom w:val="nil"/>
              <w:right w:val="nil"/>
            </w:tcBorders>
            <w:shd w:val="clear" w:color="auto" w:fill="auto"/>
            <w:tcMar>
              <w:top w:w="15" w:type="dxa"/>
              <w:left w:w="15" w:type="dxa"/>
              <w:right w:w="15" w:type="dxa"/>
            </w:tcMar>
            <w:vAlign w:val="center"/>
          </w:tcPr>
          <w:p w14:paraId="5F95AFE3">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r>
      <w:tr w14:paraId="195D0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342" w:type="dxa"/>
            <w:gridSpan w:val="2"/>
            <w:tcBorders>
              <w:top w:val="nil"/>
              <w:left w:val="nil"/>
              <w:bottom w:val="nil"/>
              <w:right w:val="nil"/>
            </w:tcBorders>
            <w:shd w:val="clear" w:color="auto" w:fill="auto"/>
            <w:noWrap/>
            <w:tcMar>
              <w:top w:w="15" w:type="dxa"/>
              <w:left w:w="15" w:type="dxa"/>
              <w:right w:w="15" w:type="dxa"/>
            </w:tcMar>
            <w:vAlign w:val="center"/>
          </w:tcPr>
          <w:p w14:paraId="7C2B5159">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联系人：</w:t>
            </w:r>
          </w:p>
        </w:tc>
        <w:tc>
          <w:tcPr>
            <w:tcW w:w="2292" w:type="dxa"/>
            <w:gridSpan w:val="3"/>
            <w:tcBorders>
              <w:top w:val="nil"/>
              <w:left w:val="nil"/>
              <w:bottom w:val="nil"/>
              <w:right w:val="nil"/>
            </w:tcBorders>
            <w:shd w:val="clear" w:color="auto" w:fill="auto"/>
            <w:noWrap/>
            <w:tcMar>
              <w:top w:w="15" w:type="dxa"/>
              <w:left w:w="15" w:type="dxa"/>
              <w:right w:w="15" w:type="dxa"/>
            </w:tcMar>
            <w:vAlign w:val="center"/>
          </w:tcPr>
          <w:p w14:paraId="3D115119">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杨先生</w:t>
            </w:r>
          </w:p>
        </w:tc>
        <w:tc>
          <w:tcPr>
            <w:tcW w:w="3249" w:type="dxa"/>
            <w:gridSpan w:val="4"/>
            <w:tcBorders>
              <w:top w:val="nil"/>
              <w:left w:val="nil"/>
              <w:bottom w:val="nil"/>
              <w:right w:val="nil"/>
            </w:tcBorders>
            <w:shd w:val="clear" w:color="auto" w:fill="auto"/>
            <w:noWrap/>
            <w:tcMar>
              <w:top w:w="15" w:type="dxa"/>
              <w:left w:w="15" w:type="dxa"/>
              <w:right w:w="15" w:type="dxa"/>
            </w:tcMar>
            <w:vAlign w:val="center"/>
          </w:tcPr>
          <w:p w14:paraId="54F38676">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2325" w:type="dxa"/>
            <w:gridSpan w:val="5"/>
            <w:tcBorders>
              <w:top w:val="nil"/>
              <w:left w:val="nil"/>
              <w:bottom w:val="nil"/>
              <w:right w:val="nil"/>
            </w:tcBorders>
            <w:shd w:val="clear" w:color="auto" w:fill="auto"/>
            <w:noWrap/>
            <w:tcMar>
              <w:top w:w="15" w:type="dxa"/>
              <w:left w:w="15" w:type="dxa"/>
              <w:right w:w="15" w:type="dxa"/>
            </w:tcMar>
            <w:vAlign w:val="center"/>
          </w:tcPr>
          <w:p w14:paraId="3C15FEE7">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130096361820</w:t>
            </w:r>
          </w:p>
        </w:tc>
      </w:tr>
    </w:tbl>
    <w:p w14:paraId="6D841E6C">
      <w:pPr>
        <w:pStyle w:val="2"/>
        <w:keepNext w:val="0"/>
        <w:keepLines w:val="0"/>
        <w:pageBreakBefore w:val="0"/>
        <w:kinsoku/>
        <w:wordWrap/>
        <w:overflowPunct/>
        <w:topLinePunct w:val="0"/>
        <w:autoSpaceDE/>
        <w:autoSpaceDN/>
        <w:bidi w:val="0"/>
        <w:adjustRightInd/>
        <w:spacing w:line="560" w:lineRule="exact"/>
        <w:rPr>
          <w:rFonts w:ascii="黑体" w:eastAsia="黑体"/>
          <w:b w:val="0"/>
          <w:sz w:val="32"/>
          <w:szCs w:val="32"/>
        </w:rPr>
      </w:pPr>
    </w:p>
    <w:p w14:paraId="5D83FFC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b w:val="0"/>
          <w:sz w:val="32"/>
          <w:szCs w:val="32"/>
        </w:rPr>
      </w:pPr>
    </w:p>
    <w:tbl>
      <w:tblPr>
        <w:tblStyle w:val="5"/>
        <w:tblW w:w="920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27"/>
        <w:gridCol w:w="506"/>
        <w:gridCol w:w="589"/>
        <w:gridCol w:w="265"/>
        <w:gridCol w:w="1968"/>
        <w:gridCol w:w="1809"/>
        <w:gridCol w:w="699"/>
        <w:gridCol w:w="864"/>
        <w:gridCol w:w="126"/>
        <w:gridCol w:w="225"/>
        <w:gridCol w:w="226"/>
        <w:gridCol w:w="434"/>
        <w:gridCol w:w="335"/>
        <w:gridCol w:w="735"/>
      </w:tblGrid>
      <w:tr w14:paraId="65093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9208" w:type="dxa"/>
            <w:gridSpan w:val="14"/>
            <w:tcBorders>
              <w:top w:val="nil"/>
              <w:left w:val="nil"/>
              <w:bottom w:val="nil"/>
              <w:right w:val="nil"/>
            </w:tcBorders>
            <w:shd w:val="clear" w:color="auto" w:fill="auto"/>
            <w:tcMar>
              <w:top w:w="15" w:type="dxa"/>
              <w:left w:w="15" w:type="dxa"/>
              <w:right w:w="15" w:type="dxa"/>
            </w:tcMar>
            <w:vAlign w:val="center"/>
          </w:tcPr>
          <w:p w14:paraId="2412109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5C09F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9208" w:type="dxa"/>
            <w:gridSpan w:val="14"/>
            <w:tcBorders>
              <w:top w:val="nil"/>
              <w:left w:val="nil"/>
              <w:bottom w:val="nil"/>
              <w:right w:val="nil"/>
            </w:tcBorders>
            <w:shd w:val="clear" w:color="auto" w:fill="auto"/>
            <w:tcMar>
              <w:top w:w="15" w:type="dxa"/>
              <w:left w:w="15" w:type="dxa"/>
              <w:right w:w="15" w:type="dxa"/>
            </w:tcMar>
            <w:vAlign w:val="center"/>
          </w:tcPr>
          <w:p w14:paraId="3480F04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(2024年度)</w:t>
            </w:r>
          </w:p>
        </w:tc>
      </w:tr>
      <w:tr w14:paraId="4634D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CF9E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8275"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B9AC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税务分局专项</w:t>
            </w:r>
          </w:p>
        </w:tc>
      </w:tr>
      <w:tr w14:paraId="7EA3D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5A3A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463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CB94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区委、管委会（区政府）办公室</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36E0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294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D2989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乌鲁木齐经济技术开发区管理委员会（乌鲁木齐市头屯河区人民政府）办公室</w:t>
            </w:r>
          </w:p>
        </w:tc>
      </w:tr>
      <w:tr w14:paraId="351DB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9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C5FA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87BC9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7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328E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65C5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CC71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4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36AA9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D49D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00978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14:paraId="5B360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9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9634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AA07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37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E649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298.58</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6E9B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298.58</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FEEC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298.56</w:t>
            </w:r>
          </w:p>
        </w:tc>
        <w:tc>
          <w:tcPr>
            <w:tcW w:w="4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C967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9D8C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99.99%</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A846B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10.00分</w:t>
            </w:r>
          </w:p>
        </w:tc>
      </w:tr>
      <w:tr w14:paraId="12A4D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9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CF4A5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A089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37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6266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298.58</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474F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298.58</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53FC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298.56</w:t>
            </w:r>
          </w:p>
        </w:tc>
        <w:tc>
          <w:tcPr>
            <w:tcW w:w="4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4FEA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672E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EDFD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58500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9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6226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D6D70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37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C7BA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EDDF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96CB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4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3D97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678D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6806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689B3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4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17621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583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3DC9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294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E7D0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14:paraId="562C6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30" w:hRule="atLeast"/>
        </w:trPr>
        <w:tc>
          <w:tcPr>
            <w:tcW w:w="4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3617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83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6C404606">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1：贯彻落实地方党委和政府交办的优化地方营商环境、地方数据共享建设、地方性收费征收管理和其他地方性重点工作,保障纳税服务，提高纳税服务水平，加强信息化建设，促进信息化升级改造，保障税收征管工作，支持地方党委、地方政府工作，完成组织收入任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目标2：切实提高处置突发公共事件的能力，最大限度的减少突发公共事件造成的人员伤亡和财产损失，维护稳定和社会治安综合治理，进一步增强税务干部安全防范意识，落实维稳工作的各项制度，杜绝各类安全稳定责任事故发生，确保持续、健康、平稳发展。</w:t>
            </w:r>
          </w:p>
        </w:tc>
        <w:tc>
          <w:tcPr>
            <w:tcW w:w="294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2DF10C73">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是落实地方党委和政府交办的优化地方营商环境、地方数据共享建设、地方性收费征收管理和其他地方性重点工作,保障纳税服务，提高纳税服务水平，加强信息化建设，促进信息化升级改造，保障税收征管工作，有力支持地方党委、地方政府工作，完成组织收入任务。二是切实提高处置突发公共事件的能力，最大限度的减少突发公共事件造成的人员伤亡和财产损失，维护稳定和社会治安综合治理，进一步增强税务干部安全防范意识，落实维稳工作的各项制度，杜绝各类安全稳定责任事故发生，确保持续、健康、平稳发展。</w:t>
            </w:r>
          </w:p>
        </w:tc>
      </w:tr>
      <w:tr w14:paraId="3A204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4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E15A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580A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5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0FA1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404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E5234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69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0F73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3FB2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3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59295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294C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0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D01A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14:paraId="4511A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4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A504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7240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42AA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04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9D3D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2881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7045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8DD1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E94AC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51D0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23A4A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391A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5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48AB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E799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404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0D1FB">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税收管理工作覆盖面</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C12E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&gt;=60%</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2764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w:t>
            </w:r>
          </w:p>
        </w:tc>
        <w:tc>
          <w:tcPr>
            <w:tcW w:w="3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CDB6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0010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D828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38BE4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BDB5F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7229D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25AF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404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1B91AE">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资金使用合规性</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963B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625B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74E1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315F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20AF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4859A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3DDF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8D89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3856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04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2C7A4">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突发事件及时处理率</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AE93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&gt;=90%</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EFBD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3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81CF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53B5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A62B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3E7E5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7370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135F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AD99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404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B43002">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每年内按期完成相应工作</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7188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B595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1B419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3000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C221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494D8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2067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E32D7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35E73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经济效益指标</w:t>
            </w:r>
          </w:p>
        </w:tc>
        <w:tc>
          <w:tcPr>
            <w:tcW w:w="404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FF6441">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税收收入是否同本地区经济发展保持同步增长</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C8D2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是</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34D5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是</w:t>
            </w:r>
          </w:p>
        </w:tc>
        <w:tc>
          <w:tcPr>
            <w:tcW w:w="3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730E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EC76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9AAE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43D4D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1715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B904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1932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404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895EC1">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保障相关税收征管工作顺利进行</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9973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4445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w:t>
            </w:r>
          </w:p>
        </w:tc>
        <w:tc>
          <w:tcPr>
            <w:tcW w:w="3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0509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7CF6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3979E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096D6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8B9B7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EF34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2159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404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A957B1">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服务对象满意度指标</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4C11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&gt;=85%</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4772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w:t>
            </w:r>
          </w:p>
        </w:tc>
        <w:tc>
          <w:tcPr>
            <w:tcW w:w="3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23F6A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56309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E7A3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13CDC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558AC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BC76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AB2D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65"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05D89C81">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1968"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62AC374D">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1809"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BB09B8A">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5044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3FB3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0EF9EF6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2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54C9EF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2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3E78618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3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D28E10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D6741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6B4A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4D5CE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7127"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3022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3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E3FA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7054A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100.00分</w:t>
            </w:r>
          </w:p>
        </w:tc>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5297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790A8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933" w:type="dxa"/>
            <w:gridSpan w:val="2"/>
            <w:tcBorders>
              <w:top w:val="single" w:color="000000" w:sz="4" w:space="0"/>
              <w:left w:val="nil"/>
              <w:bottom w:val="nil"/>
              <w:right w:val="nil"/>
            </w:tcBorders>
            <w:shd w:val="clear" w:color="auto" w:fill="auto"/>
            <w:tcMar>
              <w:top w:w="15" w:type="dxa"/>
              <w:left w:w="15" w:type="dxa"/>
              <w:right w:w="15" w:type="dxa"/>
            </w:tcMar>
            <w:vAlign w:val="center"/>
          </w:tcPr>
          <w:p w14:paraId="29A5F03B">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经办人：</w:t>
            </w:r>
          </w:p>
        </w:tc>
        <w:tc>
          <w:tcPr>
            <w:tcW w:w="2822" w:type="dxa"/>
            <w:gridSpan w:val="3"/>
            <w:tcBorders>
              <w:top w:val="single" w:color="000000" w:sz="4" w:space="0"/>
              <w:left w:val="nil"/>
              <w:bottom w:val="nil"/>
              <w:right w:val="nil"/>
            </w:tcBorders>
            <w:shd w:val="clear" w:color="auto" w:fill="auto"/>
            <w:tcMar>
              <w:top w:w="15" w:type="dxa"/>
              <w:left w:w="15" w:type="dxa"/>
              <w:right w:w="15" w:type="dxa"/>
            </w:tcMar>
            <w:vAlign w:val="center"/>
          </w:tcPr>
          <w:p w14:paraId="57146EA3">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王先生</w:t>
            </w:r>
          </w:p>
        </w:tc>
        <w:tc>
          <w:tcPr>
            <w:tcW w:w="3498" w:type="dxa"/>
            <w:gridSpan w:val="4"/>
            <w:tcBorders>
              <w:top w:val="single" w:color="000000" w:sz="4" w:space="0"/>
              <w:left w:val="nil"/>
              <w:bottom w:val="nil"/>
              <w:right w:val="nil"/>
            </w:tcBorders>
            <w:shd w:val="clear" w:color="auto" w:fill="auto"/>
            <w:tcMar>
              <w:top w:w="15" w:type="dxa"/>
              <w:left w:w="15" w:type="dxa"/>
              <w:right w:w="15" w:type="dxa"/>
            </w:tcMar>
            <w:vAlign w:val="center"/>
          </w:tcPr>
          <w:p w14:paraId="7475E1B2">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1955" w:type="dxa"/>
            <w:gridSpan w:val="5"/>
            <w:tcBorders>
              <w:top w:val="single" w:color="000000" w:sz="4" w:space="0"/>
              <w:left w:val="nil"/>
              <w:bottom w:val="nil"/>
              <w:right w:val="nil"/>
            </w:tcBorders>
            <w:shd w:val="clear" w:color="auto" w:fill="auto"/>
            <w:tcMar>
              <w:top w:w="15" w:type="dxa"/>
              <w:left w:w="15" w:type="dxa"/>
              <w:right w:w="15" w:type="dxa"/>
            </w:tcMar>
            <w:vAlign w:val="center"/>
          </w:tcPr>
          <w:p w14:paraId="5715137A">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r>
      <w:tr w14:paraId="30E6C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933" w:type="dxa"/>
            <w:gridSpan w:val="2"/>
            <w:tcBorders>
              <w:top w:val="nil"/>
              <w:left w:val="nil"/>
              <w:bottom w:val="nil"/>
              <w:right w:val="nil"/>
            </w:tcBorders>
            <w:shd w:val="clear" w:color="auto" w:fill="auto"/>
            <w:noWrap/>
            <w:tcMar>
              <w:top w:w="15" w:type="dxa"/>
              <w:left w:w="15" w:type="dxa"/>
              <w:right w:w="15" w:type="dxa"/>
            </w:tcMar>
            <w:vAlign w:val="center"/>
          </w:tcPr>
          <w:p w14:paraId="1CA3464F">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联系人：</w:t>
            </w:r>
          </w:p>
        </w:tc>
        <w:tc>
          <w:tcPr>
            <w:tcW w:w="2822" w:type="dxa"/>
            <w:gridSpan w:val="3"/>
            <w:tcBorders>
              <w:top w:val="nil"/>
              <w:left w:val="nil"/>
              <w:bottom w:val="nil"/>
              <w:right w:val="nil"/>
            </w:tcBorders>
            <w:shd w:val="clear" w:color="auto" w:fill="auto"/>
            <w:noWrap/>
            <w:tcMar>
              <w:top w:w="15" w:type="dxa"/>
              <w:left w:w="15" w:type="dxa"/>
              <w:right w:w="15" w:type="dxa"/>
            </w:tcMar>
            <w:vAlign w:val="center"/>
          </w:tcPr>
          <w:p w14:paraId="12B412DF">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银先生</w:t>
            </w:r>
          </w:p>
        </w:tc>
        <w:tc>
          <w:tcPr>
            <w:tcW w:w="3498" w:type="dxa"/>
            <w:gridSpan w:val="4"/>
            <w:tcBorders>
              <w:top w:val="nil"/>
              <w:left w:val="nil"/>
              <w:bottom w:val="nil"/>
              <w:right w:val="nil"/>
            </w:tcBorders>
            <w:shd w:val="clear" w:color="auto" w:fill="auto"/>
            <w:noWrap/>
            <w:tcMar>
              <w:top w:w="15" w:type="dxa"/>
              <w:left w:w="15" w:type="dxa"/>
              <w:right w:w="15" w:type="dxa"/>
            </w:tcMar>
            <w:vAlign w:val="center"/>
          </w:tcPr>
          <w:p w14:paraId="2663709B">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1955" w:type="dxa"/>
            <w:gridSpan w:val="5"/>
            <w:tcBorders>
              <w:top w:val="nil"/>
              <w:left w:val="nil"/>
              <w:bottom w:val="nil"/>
              <w:right w:val="nil"/>
            </w:tcBorders>
            <w:shd w:val="clear" w:color="auto" w:fill="auto"/>
            <w:noWrap/>
            <w:tcMar>
              <w:top w:w="15" w:type="dxa"/>
              <w:left w:w="15" w:type="dxa"/>
              <w:right w:w="15" w:type="dxa"/>
            </w:tcMar>
            <w:vAlign w:val="center"/>
          </w:tcPr>
          <w:p w14:paraId="3C590AAD">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18099913579</w:t>
            </w:r>
          </w:p>
        </w:tc>
      </w:tr>
    </w:tbl>
    <w:p w14:paraId="7BE0E89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b w:val="0"/>
          <w:sz w:val="32"/>
          <w:szCs w:val="32"/>
        </w:rPr>
      </w:pPr>
    </w:p>
    <w:tbl>
      <w:tblPr>
        <w:tblStyle w:val="5"/>
        <w:tblW w:w="920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39"/>
        <w:gridCol w:w="554"/>
        <w:gridCol w:w="834"/>
        <w:gridCol w:w="182"/>
        <w:gridCol w:w="1293"/>
        <w:gridCol w:w="1183"/>
        <w:gridCol w:w="1153"/>
        <w:gridCol w:w="1209"/>
        <w:gridCol w:w="120"/>
        <w:gridCol w:w="230"/>
        <w:gridCol w:w="199"/>
        <w:gridCol w:w="465"/>
        <w:gridCol w:w="398"/>
        <w:gridCol w:w="849"/>
      </w:tblGrid>
      <w:tr w14:paraId="28962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9208" w:type="dxa"/>
            <w:gridSpan w:val="14"/>
            <w:tcBorders>
              <w:top w:val="nil"/>
              <w:left w:val="nil"/>
              <w:bottom w:val="nil"/>
              <w:right w:val="nil"/>
            </w:tcBorders>
            <w:shd w:val="clear" w:color="auto" w:fill="auto"/>
            <w:tcMar>
              <w:top w:w="15" w:type="dxa"/>
              <w:left w:w="15" w:type="dxa"/>
              <w:right w:w="15" w:type="dxa"/>
            </w:tcMar>
            <w:vAlign w:val="center"/>
          </w:tcPr>
          <w:p w14:paraId="2EB21CD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5EF32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9208" w:type="dxa"/>
            <w:gridSpan w:val="14"/>
            <w:tcBorders>
              <w:top w:val="nil"/>
              <w:left w:val="nil"/>
              <w:bottom w:val="nil"/>
              <w:right w:val="nil"/>
            </w:tcBorders>
            <w:shd w:val="clear" w:color="auto" w:fill="auto"/>
            <w:tcMar>
              <w:top w:w="15" w:type="dxa"/>
              <w:left w:w="15" w:type="dxa"/>
              <w:right w:w="15" w:type="dxa"/>
            </w:tcMar>
            <w:vAlign w:val="center"/>
          </w:tcPr>
          <w:p w14:paraId="4E43A8D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(2024年度)</w:t>
            </w:r>
          </w:p>
        </w:tc>
      </w:tr>
      <w:tr w14:paraId="3EF6F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0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5027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8115"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D9B7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乌鲁木齐县国源新能生态环境修复资金</w:t>
            </w:r>
          </w:p>
        </w:tc>
      </w:tr>
      <w:tr w14:paraId="092EF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0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420C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34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EBD7F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区委、管委会（区政府）办公室</w:t>
            </w:r>
          </w:p>
        </w:tc>
        <w:tc>
          <w:tcPr>
            <w:tcW w:w="11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4B0CE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347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620D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乌鲁木齐经济技术开发区管理委员会（乌鲁木齐市头屯河区人民政府）办公室</w:t>
            </w:r>
          </w:p>
        </w:tc>
      </w:tr>
      <w:tr w14:paraId="01216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09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17EE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10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F09F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4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7A622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11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B208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3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EDC60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4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1959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8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7AB7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8765D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14:paraId="0B73D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0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717F2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3ADBB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24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8847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50.00</w:t>
            </w:r>
          </w:p>
        </w:tc>
        <w:tc>
          <w:tcPr>
            <w:tcW w:w="11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DF82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13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33BDD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50.00</w:t>
            </w:r>
          </w:p>
        </w:tc>
        <w:tc>
          <w:tcPr>
            <w:tcW w:w="4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C723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7B1E2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75BE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10.00分</w:t>
            </w:r>
          </w:p>
        </w:tc>
      </w:tr>
      <w:tr w14:paraId="601DA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0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9A0B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D6C00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24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F6C9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11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549E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13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2BF2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4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D4F1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43DE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68F8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0C1F7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0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367D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BBF1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24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521DD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1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120A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3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F4437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4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4357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59571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26ED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1910E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5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9A79A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519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30DB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347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42269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14:paraId="4E9FF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30"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F77E1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19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21FC438F">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针对乌鲁木齐国源新能工贸有限公司污染的地块，编制修复方案，进行土壤修复、废油处置、渗坑废渣处置等，进行无害化处理并清洗油罐消除风险，产生的废水等处理合格并满足国家排放标准。</w:t>
            </w:r>
          </w:p>
        </w:tc>
        <w:tc>
          <w:tcPr>
            <w:tcW w:w="347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723D6389">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截至2024年12月31日，已针对乌鲁木齐国源新能工贸有限公司污染的地块1014.1立方米编制修复方案，进行土壤修复、废油处置、渗坑废渣处置等，清洗油罐消除风险</w:t>
            </w:r>
          </w:p>
        </w:tc>
      </w:tr>
      <w:tr w14:paraId="3A9ED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5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75BFF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2FA1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F0F3A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65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7F2D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11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E7B2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12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D93A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3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A60C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6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80522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24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FBC9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14:paraId="370CB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00AD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FF66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5BD6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6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BA51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5A33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ABC3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E8F3D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0BB1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4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785C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2D9C6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8057A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AEDA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D3560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65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D9E9DB">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渗坑内废渣量</w:t>
            </w:r>
          </w:p>
        </w:tc>
        <w:tc>
          <w:tcPr>
            <w:tcW w:w="11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D85A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&lt;=1014.10立方米</w:t>
            </w:r>
          </w:p>
        </w:tc>
        <w:tc>
          <w:tcPr>
            <w:tcW w:w="1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2F03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=1014.1立方米</w:t>
            </w:r>
          </w:p>
        </w:tc>
        <w:tc>
          <w:tcPr>
            <w:tcW w:w="3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71E80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F1F6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AA71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原因：正在进行财政审批手续，改进措施：下一年度按进度及时支付。</w:t>
            </w:r>
          </w:p>
        </w:tc>
      </w:tr>
      <w:tr w14:paraId="4A3CD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2AB5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71B1D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00692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65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8AB50">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废弃油罐数</w:t>
            </w:r>
          </w:p>
        </w:tc>
        <w:tc>
          <w:tcPr>
            <w:tcW w:w="11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9D9F0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&lt;=329个</w:t>
            </w:r>
          </w:p>
        </w:tc>
        <w:tc>
          <w:tcPr>
            <w:tcW w:w="1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8CB4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=329个</w:t>
            </w:r>
          </w:p>
        </w:tc>
        <w:tc>
          <w:tcPr>
            <w:tcW w:w="3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1E46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6648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92CE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原因：正在进行财政审批手续，改进措施：下一年度按进度及时支付。</w:t>
            </w:r>
          </w:p>
        </w:tc>
      </w:tr>
      <w:tr w14:paraId="1E163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E513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1D5A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5B17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65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F473CB">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工程质量合格率</w:t>
            </w:r>
          </w:p>
        </w:tc>
        <w:tc>
          <w:tcPr>
            <w:tcW w:w="11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C1A08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&gt;=100%</w:t>
            </w:r>
          </w:p>
        </w:tc>
        <w:tc>
          <w:tcPr>
            <w:tcW w:w="1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398D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7143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CF12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6E6C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原因：正在进行财政审批手续，改进措施：下一年度按进度及时支付。</w:t>
            </w:r>
          </w:p>
        </w:tc>
      </w:tr>
      <w:tr w14:paraId="2B99E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758F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4F0E0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02F12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65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7A94F0">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项目按计划完成率</w:t>
            </w:r>
          </w:p>
        </w:tc>
        <w:tc>
          <w:tcPr>
            <w:tcW w:w="11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40F9F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1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FE78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3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D58C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45988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873E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原因：正在进行财政审批手续，改进措施：下一年度按进度及时支付。</w:t>
            </w:r>
          </w:p>
        </w:tc>
      </w:tr>
      <w:tr w14:paraId="024BA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BF72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5252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D8B4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265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8FEAFF">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预算控制率</w:t>
            </w:r>
          </w:p>
        </w:tc>
        <w:tc>
          <w:tcPr>
            <w:tcW w:w="11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A0A6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&lt;=100%</w:t>
            </w:r>
          </w:p>
        </w:tc>
        <w:tc>
          <w:tcPr>
            <w:tcW w:w="1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2E95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87144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6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6F9DB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3625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原因：正在进行财政审批手续，改进措施：下一年度按进度及时支付。</w:t>
            </w:r>
          </w:p>
        </w:tc>
      </w:tr>
      <w:tr w14:paraId="64CC6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12053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83127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42B5C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65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CB1347">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改善污染区周围群众生活质量</w:t>
            </w:r>
          </w:p>
        </w:tc>
        <w:tc>
          <w:tcPr>
            <w:tcW w:w="11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9656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逐步改善</w:t>
            </w:r>
          </w:p>
        </w:tc>
        <w:tc>
          <w:tcPr>
            <w:tcW w:w="1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2B51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有效改善</w:t>
            </w:r>
          </w:p>
        </w:tc>
        <w:tc>
          <w:tcPr>
            <w:tcW w:w="3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DB5C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6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12A54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8DAD1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原因：正在进行财政审批手续，改进措施：下一年度按进度及时支付。</w:t>
            </w:r>
          </w:p>
        </w:tc>
      </w:tr>
      <w:tr w14:paraId="51151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9BFC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C380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EA31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265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E99FE">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员工及周边群众满意度</w:t>
            </w:r>
          </w:p>
        </w:tc>
        <w:tc>
          <w:tcPr>
            <w:tcW w:w="11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35DF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1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4533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3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768A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8A6B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47CE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原因：正在进行财政审批手续，改进措施：下一年度按进度及时支付。</w:t>
            </w:r>
          </w:p>
        </w:tc>
      </w:tr>
      <w:tr w14:paraId="234A4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7C94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BBE1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812B7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82"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466E5FEB">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1293"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6284D3E7">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1183"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30C8FE4">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61FA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E8AD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485ADDD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3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A67187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9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7F7FD0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6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FB78AC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5396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2AF9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2A066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6947"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AD92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3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A67E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B9AD2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100.00分</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9657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57F78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093" w:type="dxa"/>
            <w:gridSpan w:val="2"/>
            <w:tcBorders>
              <w:top w:val="single" w:color="000000" w:sz="4" w:space="0"/>
              <w:left w:val="nil"/>
              <w:bottom w:val="nil"/>
              <w:right w:val="nil"/>
            </w:tcBorders>
            <w:shd w:val="clear" w:color="auto" w:fill="auto"/>
            <w:tcMar>
              <w:top w:w="15" w:type="dxa"/>
              <w:left w:w="15" w:type="dxa"/>
              <w:right w:w="15" w:type="dxa"/>
            </w:tcMar>
            <w:vAlign w:val="center"/>
          </w:tcPr>
          <w:p w14:paraId="1BFAAD6A">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经办人：</w:t>
            </w:r>
          </w:p>
        </w:tc>
        <w:tc>
          <w:tcPr>
            <w:tcW w:w="2309" w:type="dxa"/>
            <w:gridSpan w:val="3"/>
            <w:tcBorders>
              <w:top w:val="single" w:color="000000" w:sz="4" w:space="0"/>
              <w:left w:val="nil"/>
              <w:bottom w:val="nil"/>
              <w:right w:val="nil"/>
            </w:tcBorders>
            <w:shd w:val="clear" w:color="auto" w:fill="auto"/>
            <w:tcMar>
              <w:top w:w="15" w:type="dxa"/>
              <w:left w:w="15" w:type="dxa"/>
              <w:right w:w="15" w:type="dxa"/>
            </w:tcMar>
            <w:vAlign w:val="center"/>
          </w:tcPr>
          <w:p w14:paraId="75B1C347">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尤先生</w:t>
            </w:r>
          </w:p>
        </w:tc>
        <w:tc>
          <w:tcPr>
            <w:tcW w:w="3665" w:type="dxa"/>
            <w:gridSpan w:val="4"/>
            <w:tcBorders>
              <w:top w:val="single" w:color="000000" w:sz="4" w:space="0"/>
              <w:left w:val="nil"/>
              <w:bottom w:val="nil"/>
              <w:right w:val="nil"/>
            </w:tcBorders>
            <w:shd w:val="clear" w:color="auto" w:fill="auto"/>
            <w:tcMar>
              <w:top w:w="15" w:type="dxa"/>
              <w:left w:w="15" w:type="dxa"/>
              <w:right w:w="15" w:type="dxa"/>
            </w:tcMar>
            <w:vAlign w:val="center"/>
          </w:tcPr>
          <w:p w14:paraId="1B15617B">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2141" w:type="dxa"/>
            <w:gridSpan w:val="5"/>
            <w:tcBorders>
              <w:top w:val="single" w:color="000000" w:sz="4" w:space="0"/>
              <w:left w:val="nil"/>
              <w:bottom w:val="nil"/>
              <w:right w:val="nil"/>
            </w:tcBorders>
            <w:shd w:val="clear" w:color="auto" w:fill="auto"/>
            <w:tcMar>
              <w:top w:w="15" w:type="dxa"/>
              <w:left w:w="15" w:type="dxa"/>
              <w:right w:w="15" w:type="dxa"/>
            </w:tcMar>
            <w:vAlign w:val="center"/>
          </w:tcPr>
          <w:p w14:paraId="59818CCE">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r>
      <w:tr w14:paraId="1088A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093" w:type="dxa"/>
            <w:gridSpan w:val="2"/>
            <w:tcBorders>
              <w:top w:val="nil"/>
              <w:left w:val="nil"/>
              <w:bottom w:val="nil"/>
              <w:right w:val="nil"/>
            </w:tcBorders>
            <w:shd w:val="clear" w:color="auto" w:fill="auto"/>
            <w:noWrap/>
            <w:tcMar>
              <w:top w:w="15" w:type="dxa"/>
              <w:left w:w="15" w:type="dxa"/>
              <w:right w:w="15" w:type="dxa"/>
            </w:tcMar>
            <w:vAlign w:val="center"/>
          </w:tcPr>
          <w:p w14:paraId="7E794FF1">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联系人：</w:t>
            </w:r>
          </w:p>
        </w:tc>
        <w:tc>
          <w:tcPr>
            <w:tcW w:w="2309" w:type="dxa"/>
            <w:gridSpan w:val="3"/>
            <w:tcBorders>
              <w:top w:val="nil"/>
              <w:left w:val="nil"/>
              <w:bottom w:val="nil"/>
              <w:right w:val="nil"/>
            </w:tcBorders>
            <w:shd w:val="clear" w:color="auto" w:fill="auto"/>
            <w:noWrap/>
            <w:tcMar>
              <w:top w:w="15" w:type="dxa"/>
              <w:left w:w="15" w:type="dxa"/>
              <w:right w:w="15" w:type="dxa"/>
            </w:tcMar>
            <w:vAlign w:val="center"/>
          </w:tcPr>
          <w:p w14:paraId="35D9482A">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杨先生</w:t>
            </w:r>
          </w:p>
        </w:tc>
        <w:tc>
          <w:tcPr>
            <w:tcW w:w="3665" w:type="dxa"/>
            <w:gridSpan w:val="4"/>
            <w:tcBorders>
              <w:top w:val="nil"/>
              <w:left w:val="nil"/>
              <w:bottom w:val="nil"/>
              <w:right w:val="nil"/>
            </w:tcBorders>
            <w:shd w:val="clear" w:color="auto" w:fill="auto"/>
            <w:noWrap/>
            <w:tcMar>
              <w:top w:w="15" w:type="dxa"/>
              <w:left w:w="15" w:type="dxa"/>
              <w:right w:w="15" w:type="dxa"/>
            </w:tcMar>
            <w:vAlign w:val="center"/>
          </w:tcPr>
          <w:p w14:paraId="69F9750D">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2141" w:type="dxa"/>
            <w:gridSpan w:val="5"/>
            <w:tcBorders>
              <w:top w:val="nil"/>
              <w:left w:val="nil"/>
              <w:bottom w:val="nil"/>
              <w:right w:val="nil"/>
            </w:tcBorders>
            <w:shd w:val="clear" w:color="auto" w:fill="auto"/>
            <w:noWrap/>
            <w:tcMar>
              <w:top w:w="15" w:type="dxa"/>
              <w:left w:w="15" w:type="dxa"/>
              <w:right w:w="15" w:type="dxa"/>
            </w:tcMar>
            <w:vAlign w:val="center"/>
          </w:tcPr>
          <w:p w14:paraId="4BC3B831">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13009661820</w:t>
            </w:r>
          </w:p>
        </w:tc>
      </w:tr>
    </w:tbl>
    <w:p w14:paraId="643EE7D9">
      <w:pPr>
        <w:pStyle w:val="2"/>
        <w:keepNext w:val="0"/>
        <w:keepLines w:val="0"/>
        <w:pageBreakBefore w:val="0"/>
        <w:kinsoku/>
        <w:wordWrap/>
        <w:overflowPunct/>
        <w:topLinePunct w:val="0"/>
        <w:autoSpaceDE/>
        <w:autoSpaceDN/>
        <w:bidi w:val="0"/>
        <w:adjustRightInd/>
        <w:spacing w:line="560" w:lineRule="exact"/>
      </w:pPr>
    </w:p>
    <w:p w14:paraId="53FE2F2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b w:val="0"/>
          <w:sz w:val="32"/>
          <w:szCs w:val="32"/>
        </w:rPr>
      </w:pPr>
    </w:p>
    <w:p w14:paraId="3530787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b w:val="0"/>
          <w:sz w:val="32"/>
          <w:szCs w:val="32"/>
        </w:rPr>
      </w:pPr>
    </w:p>
    <w:tbl>
      <w:tblPr>
        <w:tblStyle w:val="5"/>
        <w:tblW w:w="920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21"/>
        <w:gridCol w:w="527"/>
        <w:gridCol w:w="623"/>
        <w:gridCol w:w="225"/>
        <w:gridCol w:w="1850"/>
        <w:gridCol w:w="1634"/>
        <w:gridCol w:w="1093"/>
        <w:gridCol w:w="1108"/>
        <w:gridCol w:w="114"/>
        <w:gridCol w:w="235"/>
        <w:gridCol w:w="187"/>
        <w:gridCol w:w="377"/>
        <w:gridCol w:w="250"/>
        <w:gridCol w:w="564"/>
      </w:tblGrid>
      <w:tr w14:paraId="5650C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9208" w:type="dxa"/>
            <w:gridSpan w:val="14"/>
            <w:tcBorders>
              <w:top w:val="nil"/>
              <w:left w:val="nil"/>
              <w:bottom w:val="nil"/>
              <w:right w:val="nil"/>
            </w:tcBorders>
            <w:shd w:val="clear" w:color="auto" w:fill="auto"/>
            <w:tcMar>
              <w:top w:w="15" w:type="dxa"/>
              <w:left w:w="15" w:type="dxa"/>
              <w:right w:w="15" w:type="dxa"/>
            </w:tcMar>
            <w:vAlign w:val="center"/>
          </w:tcPr>
          <w:p w14:paraId="14E45E0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38D7C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9208" w:type="dxa"/>
            <w:gridSpan w:val="14"/>
            <w:tcBorders>
              <w:top w:val="nil"/>
              <w:left w:val="nil"/>
              <w:bottom w:val="nil"/>
              <w:right w:val="nil"/>
            </w:tcBorders>
            <w:shd w:val="clear" w:color="auto" w:fill="auto"/>
            <w:tcMar>
              <w:top w:w="15" w:type="dxa"/>
              <w:left w:w="15" w:type="dxa"/>
              <w:right w:w="15" w:type="dxa"/>
            </w:tcMar>
            <w:vAlign w:val="center"/>
          </w:tcPr>
          <w:p w14:paraId="3E12175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(2024年度)</w:t>
            </w:r>
          </w:p>
        </w:tc>
      </w:tr>
      <w:tr w14:paraId="4A572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3CC6B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826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4A9F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中央大气污染防治资金</w:t>
            </w:r>
          </w:p>
        </w:tc>
      </w:tr>
      <w:tr w14:paraId="43ECC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D1210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433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832A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区委、管委会（区政府）办公室</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60CDB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283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2F06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乌鲁木齐经济技术开发区管理委员会（乌鲁木齐市头屯河区人民政府）办公室</w:t>
            </w:r>
          </w:p>
        </w:tc>
      </w:tr>
      <w:tr w14:paraId="2A737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9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01438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B8A1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4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89B15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5179E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2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8EFA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93FF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6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9CDD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AB69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14:paraId="46FB1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9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3C72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3C7A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34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22125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10888.79</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BB1A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10888.79</w:t>
            </w:r>
          </w:p>
        </w:tc>
        <w:tc>
          <w:tcPr>
            <w:tcW w:w="12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BC43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176.44</w:t>
            </w:r>
          </w:p>
        </w:tc>
        <w:tc>
          <w:tcPr>
            <w:tcW w:w="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C14B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0FAF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1.62%</w:t>
            </w:r>
          </w:p>
        </w:tc>
        <w:tc>
          <w:tcPr>
            <w:tcW w:w="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7E18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0.16分</w:t>
            </w:r>
          </w:p>
        </w:tc>
      </w:tr>
      <w:tr w14:paraId="6F5B6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9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8671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810C4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34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B47C6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10888.79</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CE8B6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10888.79</w:t>
            </w:r>
          </w:p>
        </w:tc>
        <w:tc>
          <w:tcPr>
            <w:tcW w:w="12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8E78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176.44</w:t>
            </w:r>
          </w:p>
        </w:tc>
        <w:tc>
          <w:tcPr>
            <w:tcW w:w="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C56C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9873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0EE8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05296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9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03703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5F4F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34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0400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32F2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EDEAF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4FD22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EFC26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D6556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7D18F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42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D68E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59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607A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283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52C4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14:paraId="22C2C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30" w:hRule="atLeast"/>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C498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9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29ED3C2E">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根据大气污染防治工作需要，本项目总投资10888.79万元，主要用新疆八一钢铁股份有限公司原料分厂焦炭料场封闭项目、新疆八一钢铁股份有限公司烧结原料厂系统能力提升改造项目、新疆八一钢铁股份有限公司轧钢厂低氮燃烧改造项目和新疆八一钢铁股份有限公司原料分厂1#3#翻车机除尘提标改造项目，通过该项目实施达到生态环境改善效果。</w:t>
            </w:r>
          </w:p>
        </w:tc>
        <w:tc>
          <w:tcPr>
            <w:tcW w:w="283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1E83E46E">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坚持绿色发展理念，持续推进降碳、减污、扩绿、增长，实现经济发展“含绿量”明显增加。截至2024年12月31日，共支出财政资金176.44万元.用于新疆八一钢铁股份有限公司原料分厂焦炭料场封闭项目、新疆八一钢铁股份有限公司烧结原料厂系统能力提升改造项目、新疆八一钢铁股份有限公司轧钢厂低氮燃烧改造项目和新疆八一钢铁股份有限公司原料分厂1#3#翻车机除尘提标改造项目，通过该项目实施达到了生态环境改善效果。</w:t>
            </w:r>
          </w:p>
        </w:tc>
      </w:tr>
      <w:tr w14:paraId="253C6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42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382E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B06E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45D4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370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D67C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109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1A3C7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11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CAD9A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3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6401A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5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0550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81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F6BC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14:paraId="00E25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8C22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EBE15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401B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7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CCB1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4C93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1573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991F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6B0E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1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6111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52709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363A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5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0A2B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0226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370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C1F982">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实现全封闭焦炭料场</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DD4E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=1座</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DF5F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=1座</w:t>
            </w:r>
          </w:p>
        </w:tc>
        <w:tc>
          <w:tcPr>
            <w:tcW w:w="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630F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2D90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6019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2DE0E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3089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1F45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E6ED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70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CC48BC">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料场封闭面积</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19597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=181080平方米</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93AB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=181080平方米</w:t>
            </w:r>
          </w:p>
        </w:tc>
        <w:tc>
          <w:tcPr>
            <w:tcW w:w="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EC42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A894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0D136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52C98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A946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67915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3940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70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7CF588">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VOC走航监测设备</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BDA1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=1套</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245B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=1套</w:t>
            </w:r>
          </w:p>
        </w:tc>
        <w:tc>
          <w:tcPr>
            <w:tcW w:w="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0BB1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43AD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3B54B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60A36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EE13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E37C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D6A4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70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C53C5">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实现全封闭烧结料场</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460A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=1座</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4A89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=1座</w:t>
            </w:r>
          </w:p>
        </w:tc>
        <w:tc>
          <w:tcPr>
            <w:tcW w:w="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113F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AAD0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BE79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69062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E947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BAB82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732D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70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AABBF1">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低氮烧嘴更换</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E5A9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=835个</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2A70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=835个</w:t>
            </w:r>
          </w:p>
        </w:tc>
        <w:tc>
          <w:tcPr>
            <w:tcW w:w="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72C1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7D91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DC02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50723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5CC7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B2FC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9CC3A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70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6B05D5">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封闭卸车机厂房</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CDA1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=1座</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04DA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=1座</w:t>
            </w:r>
          </w:p>
        </w:tc>
        <w:tc>
          <w:tcPr>
            <w:tcW w:w="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089D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AD8F4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F1FB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16FFC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DEF5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8807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9DD1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70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F3BDA9">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新建除尘系统</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E41D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=1套</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740A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=1套</w:t>
            </w:r>
          </w:p>
        </w:tc>
        <w:tc>
          <w:tcPr>
            <w:tcW w:w="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23747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AAB93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C3737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5E1A7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AF3D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14FD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9D647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370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A368CE">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工程质量合格率</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20DC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F0D03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E7DA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5D49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EA8A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01D8F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45AD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1CAA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1C1E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370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BCCB90">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项目按计划完成率</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A7CF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&gt;=80%</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B1D6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w:t>
            </w:r>
          </w:p>
        </w:tc>
        <w:tc>
          <w:tcPr>
            <w:tcW w:w="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2094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EA28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6A6C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6BBC4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36FC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2C6D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11274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370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01AA04">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原料分厂1#、3#翻车机除尘提标改造项目</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963A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&lt;=723万元</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D2FD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=41.44万元</w:t>
            </w:r>
          </w:p>
        </w:tc>
        <w:tc>
          <w:tcPr>
            <w:tcW w:w="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2AAA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3F894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0.28</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CA34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原因:正在进行财政审批手续，改进措施：下一年度按进度及时支付。</w:t>
            </w:r>
          </w:p>
        </w:tc>
      </w:tr>
      <w:tr w14:paraId="03BD5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2AEB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BFE95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D900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70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3E3697">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原料分厂焦炭料场封闭项目</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C5D5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&lt;=3332.79万元</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8EF77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=35万元</w:t>
            </w:r>
          </w:p>
        </w:tc>
        <w:tc>
          <w:tcPr>
            <w:tcW w:w="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1A24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CC89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0.05</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E13B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原因：正在进行财政审批手续，改进措施：下一年度按进度及时支付。</w:t>
            </w:r>
          </w:p>
        </w:tc>
      </w:tr>
      <w:tr w14:paraId="7A90F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E74A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C3C6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BA80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70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BC4685">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烧结原料场系统能力提升改造项目</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2F51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&lt;=2173万元</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9AA2E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=100万元</w:t>
            </w:r>
          </w:p>
        </w:tc>
        <w:tc>
          <w:tcPr>
            <w:tcW w:w="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9C3CF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DA80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0.23</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A9D20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原因：正在进行财政审批手续，改进措施：下一年度按进度及时支付。</w:t>
            </w:r>
          </w:p>
        </w:tc>
      </w:tr>
      <w:tr w14:paraId="0C1AB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3E034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AB44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C2C9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70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6EB7D8">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废旧材料利用率(%)</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79DA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&lt;=4660万元</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DADCD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=0万元</w:t>
            </w:r>
          </w:p>
        </w:tc>
        <w:tc>
          <w:tcPr>
            <w:tcW w:w="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989B1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F167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1BF0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原因：正在进行财政审批手续，改进措施：下一年度按进度及时支付。</w:t>
            </w:r>
          </w:p>
        </w:tc>
      </w:tr>
      <w:tr w14:paraId="47F17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BF64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82E94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C051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生态效益指标</w:t>
            </w:r>
          </w:p>
        </w:tc>
        <w:tc>
          <w:tcPr>
            <w:tcW w:w="370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E87B01">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焦炭粉尘减排量</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FD4E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&gt;=1200吨/年</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BFB7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=1200吨/年</w:t>
            </w:r>
          </w:p>
        </w:tc>
        <w:tc>
          <w:tcPr>
            <w:tcW w:w="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BAB1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77F3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6275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28A7E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3EEE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C4EE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5206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70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D74935">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改造后氮氧化物排放浓度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B8B8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&lt;=200毫克/立方米</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D2282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=200毫克/立方米</w:t>
            </w:r>
          </w:p>
        </w:tc>
        <w:tc>
          <w:tcPr>
            <w:tcW w:w="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49FD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6018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B235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45BDA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EB49D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EE542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9E16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70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AA71F">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除尘改造后颗粒物排放浓度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5BCF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&lt;=10毫克/标准立方米</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7C71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=10毫克/标准立方米</w:t>
            </w:r>
          </w:p>
        </w:tc>
        <w:tc>
          <w:tcPr>
            <w:tcW w:w="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DEDC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27E5F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D08DE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73BEF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C278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C8711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1E66C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70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0061D3">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粉尘减排量</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E4DF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&gt;=2000吨</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7F21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=2000吨</w:t>
            </w:r>
          </w:p>
        </w:tc>
        <w:tc>
          <w:tcPr>
            <w:tcW w:w="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A5A3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0440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C7E27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3A4D2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6F42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9875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DE9A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70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9F1F25">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碳减排</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C7D9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&gt;=61430吨</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B8DA4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=61430吨</w:t>
            </w:r>
          </w:p>
        </w:tc>
        <w:tc>
          <w:tcPr>
            <w:tcW w:w="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36CA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2B1D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7D32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57154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9183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F76BB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5855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370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AA839A">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员工及周边群众满意度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7E06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&gt;=90%</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4C9C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A49A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B479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722DE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64364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 w:hRule="atLeast"/>
        </w:trPr>
        <w:tc>
          <w:tcPr>
            <w:tcW w:w="4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B5F6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0D72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459F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25"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D5452E1">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1850"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66ED6E22">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1634"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C67BD61">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505E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0309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4A62B0A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CA795E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8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0207F2B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7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B999CE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A2A1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9478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7FAC7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748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FD73C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771F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8514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70.72分</w:t>
            </w:r>
          </w:p>
        </w:tc>
        <w:tc>
          <w:tcPr>
            <w:tcW w:w="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B2D3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206F6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948" w:type="dxa"/>
            <w:gridSpan w:val="2"/>
            <w:tcBorders>
              <w:top w:val="single" w:color="000000" w:sz="4" w:space="0"/>
              <w:left w:val="nil"/>
              <w:bottom w:val="nil"/>
              <w:right w:val="nil"/>
            </w:tcBorders>
            <w:shd w:val="clear" w:color="auto" w:fill="auto"/>
            <w:tcMar>
              <w:top w:w="15" w:type="dxa"/>
              <w:left w:w="15" w:type="dxa"/>
              <w:right w:w="15" w:type="dxa"/>
            </w:tcMar>
            <w:vAlign w:val="center"/>
          </w:tcPr>
          <w:p w14:paraId="476F77AE">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经办人：</w:t>
            </w:r>
          </w:p>
        </w:tc>
        <w:tc>
          <w:tcPr>
            <w:tcW w:w="2698" w:type="dxa"/>
            <w:gridSpan w:val="3"/>
            <w:tcBorders>
              <w:top w:val="single" w:color="000000" w:sz="4" w:space="0"/>
              <w:left w:val="nil"/>
              <w:bottom w:val="nil"/>
              <w:right w:val="nil"/>
            </w:tcBorders>
            <w:shd w:val="clear" w:color="auto" w:fill="auto"/>
            <w:tcMar>
              <w:top w:w="15" w:type="dxa"/>
              <w:left w:w="15" w:type="dxa"/>
              <w:right w:w="15" w:type="dxa"/>
            </w:tcMar>
            <w:vAlign w:val="center"/>
          </w:tcPr>
          <w:p w14:paraId="10229C47">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尤先生</w:t>
            </w:r>
          </w:p>
        </w:tc>
        <w:tc>
          <w:tcPr>
            <w:tcW w:w="3949" w:type="dxa"/>
            <w:gridSpan w:val="4"/>
            <w:tcBorders>
              <w:top w:val="single" w:color="000000" w:sz="4" w:space="0"/>
              <w:left w:val="nil"/>
              <w:bottom w:val="nil"/>
              <w:right w:val="nil"/>
            </w:tcBorders>
            <w:shd w:val="clear" w:color="auto" w:fill="auto"/>
            <w:tcMar>
              <w:top w:w="15" w:type="dxa"/>
              <w:left w:w="15" w:type="dxa"/>
              <w:right w:w="15" w:type="dxa"/>
            </w:tcMar>
            <w:vAlign w:val="center"/>
          </w:tcPr>
          <w:p w14:paraId="301B2651">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1613" w:type="dxa"/>
            <w:gridSpan w:val="5"/>
            <w:tcBorders>
              <w:top w:val="single" w:color="000000" w:sz="4" w:space="0"/>
              <w:left w:val="nil"/>
              <w:bottom w:val="nil"/>
              <w:right w:val="nil"/>
            </w:tcBorders>
            <w:shd w:val="clear" w:color="auto" w:fill="auto"/>
            <w:tcMar>
              <w:top w:w="15" w:type="dxa"/>
              <w:left w:w="15" w:type="dxa"/>
              <w:right w:w="15" w:type="dxa"/>
            </w:tcMar>
            <w:vAlign w:val="center"/>
          </w:tcPr>
          <w:p w14:paraId="34E89BC4">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r>
      <w:tr w14:paraId="44008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948" w:type="dxa"/>
            <w:gridSpan w:val="2"/>
            <w:tcBorders>
              <w:top w:val="nil"/>
              <w:left w:val="nil"/>
              <w:bottom w:val="nil"/>
              <w:right w:val="nil"/>
            </w:tcBorders>
            <w:shd w:val="clear" w:color="auto" w:fill="auto"/>
            <w:noWrap/>
            <w:tcMar>
              <w:top w:w="15" w:type="dxa"/>
              <w:left w:w="15" w:type="dxa"/>
              <w:right w:w="15" w:type="dxa"/>
            </w:tcMar>
            <w:vAlign w:val="center"/>
          </w:tcPr>
          <w:p w14:paraId="7EDB3ED5">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联系人：</w:t>
            </w:r>
          </w:p>
        </w:tc>
        <w:tc>
          <w:tcPr>
            <w:tcW w:w="2698" w:type="dxa"/>
            <w:gridSpan w:val="3"/>
            <w:tcBorders>
              <w:top w:val="nil"/>
              <w:left w:val="nil"/>
              <w:bottom w:val="nil"/>
              <w:right w:val="nil"/>
            </w:tcBorders>
            <w:shd w:val="clear" w:color="auto" w:fill="auto"/>
            <w:noWrap/>
            <w:tcMar>
              <w:top w:w="15" w:type="dxa"/>
              <w:left w:w="15" w:type="dxa"/>
              <w:right w:w="15" w:type="dxa"/>
            </w:tcMar>
            <w:vAlign w:val="center"/>
          </w:tcPr>
          <w:p w14:paraId="512B834A">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杨先生</w:t>
            </w:r>
          </w:p>
        </w:tc>
        <w:tc>
          <w:tcPr>
            <w:tcW w:w="3949" w:type="dxa"/>
            <w:gridSpan w:val="4"/>
            <w:tcBorders>
              <w:top w:val="nil"/>
              <w:left w:val="nil"/>
              <w:bottom w:val="nil"/>
              <w:right w:val="nil"/>
            </w:tcBorders>
            <w:shd w:val="clear" w:color="auto" w:fill="auto"/>
            <w:noWrap/>
            <w:tcMar>
              <w:top w:w="15" w:type="dxa"/>
              <w:left w:w="15" w:type="dxa"/>
              <w:right w:w="15" w:type="dxa"/>
            </w:tcMar>
            <w:vAlign w:val="center"/>
          </w:tcPr>
          <w:p w14:paraId="1EB9294E">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1613" w:type="dxa"/>
            <w:gridSpan w:val="5"/>
            <w:tcBorders>
              <w:top w:val="nil"/>
              <w:left w:val="nil"/>
              <w:bottom w:val="nil"/>
              <w:right w:val="nil"/>
            </w:tcBorders>
            <w:shd w:val="clear" w:color="auto" w:fill="auto"/>
            <w:noWrap/>
            <w:tcMar>
              <w:top w:w="15" w:type="dxa"/>
              <w:left w:w="15" w:type="dxa"/>
              <w:right w:w="15" w:type="dxa"/>
            </w:tcMar>
            <w:vAlign w:val="center"/>
          </w:tcPr>
          <w:p w14:paraId="579F83B9">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13009661820</w:t>
            </w:r>
          </w:p>
        </w:tc>
      </w:tr>
    </w:tbl>
    <w:p w14:paraId="6CF6940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b w:val="0"/>
          <w:sz w:val="32"/>
          <w:szCs w:val="32"/>
        </w:rPr>
      </w:pPr>
    </w:p>
    <w:tbl>
      <w:tblPr>
        <w:tblStyle w:val="5"/>
        <w:tblW w:w="920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74"/>
        <w:gridCol w:w="488"/>
        <w:gridCol w:w="963"/>
        <w:gridCol w:w="346"/>
        <w:gridCol w:w="1484"/>
        <w:gridCol w:w="1014"/>
        <w:gridCol w:w="855"/>
        <w:gridCol w:w="1282"/>
        <w:gridCol w:w="130"/>
        <w:gridCol w:w="233"/>
        <w:gridCol w:w="200"/>
        <w:gridCol w:w="486"/>
        <w:gridCol w:w="394"/>
        <w:gridCol w:w="859"/>
      </w:tblGrid>
      <w:tr w14:paraId="0C40F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9208" w:type="dxa"/>
            <w:gridSpan w:val="14"/>
            <w:tcBorders>
              <w:top w:val="nil"/>
              <w:left w:val="nil"/>
              <w:bottom w:val="nil"/>
              <w:right w:val="nil"/>
            </w:tcBorders>
            <w:shd w:val="clear" w:color="auto" w:fill="auto"/>
            <w:tcMar>
              <w:top w:w="15" w:type="dxa"/>
              <w:left w:w="15" w:type="dxa"/>
              <w:right w:w="15" w:type="dxa"/>
            </w:tcMar>
            <w:vAlign w:val="center"/>
          </w:tcPr>
          <w:p w14:paraId="61513A1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56AE2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9208" w:type="dxa"/>
            <w:gridSpan w:val="14"/>
            <w:tcBorders>
              <w:top w:val="nil"/>
              <w:left w:val="nil"/>
              <w:bottom w:val="nil"/>
              <w:right w:val="nil"/>
            </w:tcBorders>
            <w:shd w:val="clear" w:color="auto" w:fill="auto"/>
            <w:tcMar>
              <w:top w:w="15" w:type="dxa"/>
              <w:left w:w="15" w:type="dxa"/>
              <w:right w:w="15" w:type="dxa"/>
            </w:tcMar>
            <w:vAlign w:val="center"/>
          </w:tcPr>
          <w:p w14:paraId="0A7EE79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(2024年度)</w:t>
            </w:r>
          </w:p>
        </w:tc>
      </w:tr>
      <w:tr w14:paraId="0E051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9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08F0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8246"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E3D3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中央大气污染防治资金1</w:t>
            </w:r>
          </w:p>
        </w:tc>
      </w:tr>
      <w:tr w14:paraId="286CA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9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BE1A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38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669D4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乌鲁木齐经济技术开发区管理委员会（乌鲁木齐市头屯河区人民政府）办公室</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9BE1E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358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6FA6A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乌鲁木齐经济技术开发区管理委员会（乌鲁木齐市头屯河区人民政府）办公室</w:t>
            </w:r>
          </w:p>
        </w:tc>
      </w:tr>
      <w:tr w14:paraId="7A196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9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F3C7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5590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4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4364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2CA53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6AA14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4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9D59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18AB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EC6B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14:paraId="69F9A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9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8A76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A64A1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24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CB3B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5000.00</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C5BB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5000</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6C29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5000.00</w:t>
            </w:r>
          </w:p>
        </w:tc>
        <w:tc>
          <w:tcPr>
            <w:tcW w:w="4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DB80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DD0E4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F107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10.00分</w:t>
            </w:r>
          </w:p>
        </w:tc>
      </w:tr>
      <w:tr w14:paraId="0CA29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9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6D14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C7A1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24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04F5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5000</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18EE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5000</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5646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5000</w:t>
            </w:r>
          </w:p>
        </w:tc>
        <w:tc>
          <w:tcPr>
            <w:tcW w:w="4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8B86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2BF0C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8173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54452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9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FC2A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8479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24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9644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CACF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8599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4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C59E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9A18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AA73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19D4E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47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8286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515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B42B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358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E9B1F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14:paraId="1E8D2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30" w:hRule="atLeast"/>
        </w:trPr>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0050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15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2EE2BFD8">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项目总投资14367.61万元，主要用新疆八一钢铁股份有限公司除尘器超低排改造项目、新疆八一钢铁股份有限公司各工序无组织治理超低排项目、新疆八一钢铁股份有限公司炼铁厂化工区域VOC治理项目和新疆八一钢铁股份有限公司炼钢150t产线、120t产线连铸无组织排放治理项目，通过该项目实施达到生态环境改善效果。</w:t>
            </w:r>
          </w:p>
        </w:tc>
        <w:tc>
          <w:tcPr>
            <w:tcW w:w="358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2A10CDBA">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以改善环境空气为核心，紧紧围绕大气污染防治目标任务，把资金项目工作与大气污染防治工作有机结合，一体谋划、部署、实施，充分发挥大气污染防治资金的服务保障作用，加快推进减排落实。 截至2024年12月31日，共支出财政资金5000万元。用于新疆八一钢铁股份有限公司除尘器超低排改造项目、新疆八一钢铁股份有限公司各工序无组织治理超低排项目、新疆八一钢铁股份有限公司炼铁厂化工区域VOC治理项目和新疆八一钢铁股份有限公司炼钢150t产线、120t产线连铸无组织排放治理项目，通过该项目实施达到了生态环境改善效果。</w:t>
            </w:r>
          </w:p>
        </w:tc>
      </w:tr>
      <w:tr w14:paraId="72FAF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7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3717D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42BF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96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3B25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84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F86C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A392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12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F7A4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36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4696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6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CBB7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25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3097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14:paraId="7BDBB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5B95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8BD44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F857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84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4329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3E024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3B1B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FF54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F6C81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5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2AD6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75E82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7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8D2D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4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A32C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96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F2B0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84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D04A36">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扩建、封闭面积（干煤棚、矿槽）</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929A9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&lt;=16254㎡</w:t>
            </w:r>
          </w:p>
        </w:tc>
        <w:tc>
          <w:tcPr>
            <w:tcW w:w="12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A14D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=16254㎡</w:t>
            </w:r>
          </w:p>
        </w:tc>
        <w:tc>
          <w:tcPr>
            <w:tcW w:w="3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9C0B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E4A46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2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743C4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75790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674C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BC51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99010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84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658C3D">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新建、利旧除尘灰仓有效容积</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F6E7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&lt;=1200㎡</w:t>
            </w:r>
          </w:p>
        </w:tc>
        <w:tc>
          <w:tcPr>
            <w:tcW w:w="12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6E4E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=1200㎡</w:t>
            </w:r>
          </w:p>
        </w:tc>
        <w:tc>
          <w:tcPr>
            <w:tcW w:w="3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5223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D260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2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AACA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788A0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99FF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41EEE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9798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84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517FE7">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保障项目个数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EB4F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&gt;=5个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5702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=5个</w:t>
            </w:r>
          </w:p>
        </w:tc>
        <w:tc>
          <w:tcPr>
            <w:tcW w:w="3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F6A3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CC59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2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EB5C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5CEF4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BA2D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4039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C860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84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CE4737">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工程质量合格率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EB8D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2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E671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6E71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0C60B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2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AE72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30AA2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235CE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E9DF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41EA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84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9E18C1">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资金拨付及时率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1D19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12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419C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3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D4C9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5A12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2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95FD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19D42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DD847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C92D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D0EC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284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3CB82C">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预算控制率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64E4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&lt;=100%</w:t>
            </w:r>
          </w:p>
        </w:tc>
        <w:tc>
          <w:tcPr>
            <w:tcW w:w="12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8D02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6B40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3F54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2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5241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55BCD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9F6F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10E9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948DB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84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207050">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保障城市减污降碳工作正常开展</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5693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w:t>
            </w:r>
          </w:p>
        </w:tc>
        <w:tc>
          <w:tcPr>
            <w:tcW w:w="12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4367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w:t>
            </w:r>
          </w:p>
        </w:tc>
        <w:tc>
          <w:tcPr>
            <w:tcW w:w="3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CFA2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90A6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2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1B8A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40630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1726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7A61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4C63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284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60D4DF">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员工及群众满意度</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69A6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&gt;=90%</w:t>
            </w:r>
          </w:p>
        </w:tc>
        <w:tc>
          <w:tcPr>
            <w:tcW w:w="12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E51E0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3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4A5F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9E5A5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5A1CD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66061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 w:hRule="atLeast"/>
        </w:trPr>
        <w:tc>
          <w:tcPr>
            <w:tcW w:w="4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AF62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8A215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7AE8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4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07B4A3DE">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1484"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3D648E6B">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1014"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92F6E46">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B62ED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F3F8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19315D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3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65315A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58B93B1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86"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C816FD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366D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BF20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7C7DE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690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3F1E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3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BD65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5ED9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100.00分</w:t>
            </w:r>
          </w:p>
        </w:tc>
        <w:tc>
          <w:tcPr>
            <w:tcW w:w="12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D63A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3394A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962" w:type="dxa"/>
            <w:gridSpan w:val="2"/>
            <w:tcBorders>
              <w:top w:val="single" w:color="000000" w:sz="4" w:space="0"/>
              <w:left w:val="nil"/>
              <w:bottom w:val="nil"/>
              <w:right w:val="nil"/>
            </w:tcBorders>
            <w:shd w:val="clear" w:color="auto" w:fill="auto"/>
            <w:tcMar>
              <w:top w:w="15" w:type="dxa"/>
              <w:left w:w="15" w:type="dxa"/>
              <w:right w:w="15" w:type="dxa"/>
            </w:tcMar>
            <w:vAlign w:val="center"/>
          </w:tcPr>
          <w:p w14:paraId="0CD3ACAC">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经办人：</w:t>
            </w:r>
          </w:p>
        </w:tc>
        <w:tc>
          <w:tcPr>
            <w:tcW w:w="2793" w:type="dxa"/>
            <w:gridSpan w:val="3"/>
            <w:tcBorders>
              <w:top w:val="single" w:color="000000" w:sz="4" w:space="0"/>
              <w:left w:val="nil"/>
              <w:bottom w:val="nil"/>
              <w:right w:val="nil"/>
            </w:tcBorders>
            <w:shd w:val="clear" w:color="auto" w:fill="auto"/>
            <w:tcMar>
              <w:top w:w="15" w:type="dxa"/>
              <w:left w:w="15" w:type="dxa"/>
              <w:right w:w="15" w:type="dxa"/>
            </w:tcMar>
            <w:vAlign w:val="center"/>
          </w:tcPr>
          <w:p w14:paraId="1EF8CA9C">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尤先生</w:t>
            </w:r>
          </w:p>
        </w:tc>
        <w:tc>
          <w:tcPr>
            <w:tcW w:w="3281" w:type="dxa"/>
            <w:gridSpan w:val="4"/>
            <w:tcBorders>
              <w:top w:val="single" w:color="000000" w:sz="4" w:space="0"/>
              <w:left w:val="nil"/>
              <w:bottom w:val="nil"/>
              <w:right w:val="nil"/>
            </w:tcBorders>
            <w:shd w:val="clear" w:color="auto" w:fill="auto"/>
            <w:tcMar>
              <w:top w:w="15" w:type="dxa"/>
              <w:left w:w="15" w:type="dxa"/>
              <w:right w:w="15" w:type="dxa"/>
            </w:tcMar>
            <w:vAlign w:val="center"/>
          </w:tcPr>
          <w:p w14:paraId="23E7520D">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2172" w:type="dxa"/>
            <w:gridSpan w:val="5"/>
            <w:tcBorders>
              <w:top w:val="single" w:color="000000" w:sz="4" w:space="0"/>
              <w:left w:val="nil"/>
              <w:bottom w:val="nil"/>
              <w:right w:val="nil"/>
            </w:tcBorders>
            <w:shd w:val="clear" w:color="auto" w:fill="auto"/>
            <w:tcMar>
              <w:top w:w="15" w:type="dxa"/>
              <w:left w:w="15" w:type="dxa"/>
              <w:right w:w="15" w:type="dxa"/>
            </w:tcMar>
            <w:vAlign w:val="center"/>
          </w:tcPr>
          <w:p w14:paraId="1B45947E">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r>
      <w:tr w14:paraId="189FF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962" w:type="dxa"/>
            <w:gridSpan w:val="2"/>
            <w:tcBorders>
              <w:top w:val="nil"/>
              <w:left w:val="nil"/>
              <w:bottom w:val="nil"/>
              <w:right w:val="nil"/>
            </w:tcBorders>
            <w:shd w:val="clear" w:color="auto" w:fill="auto"/>
            <w:noWrap/>
            <w:tcMar>
              <w:top w:w="15" w:type="dxa"/>
              <w:left w:w="15" w:type="dxa"/>
              <w:right w:w="15" w:type="dxa"/>
            </w:tcMar>
            <w:vAlign w:val="center"/>
          </w:tcPr>
          <w:p w14:paraId="3E0794DC">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联系人：</w:t>
            </w:r>
          </w:p>
        </w:tc>
        <w:tc>
          <w:tcPr>
            <w:tcW w:w="2793" w:type="dxa"/>
            <w:gridSpan w:val="3"/>
            <w:tcBorders>
              <w:top w:val="nil"/>
              <w:left w:val="nil"/>
              <w:bottom w:val="nil"/>
              <w:right w:val="nil"/>
            </w:tcBorders>
            <w:shd w:val="clear" w:color="auto" w:fill="auto"/>
            <w:noWrap/>
            <w:tcMar>
              <w:top w:w="15" w:type="dxa"/>
              <w:left w:w="15" w:type="dxa"/>
              <w:right w:w="15" w:type="dxa"/>
            </w:tcMar>
            <w:vAlign w:val="center"/>
          </w:tcPr>
          <w:p w14:paraId="6F978B5A">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杨先生</w:t>
            </w:r>
          </w:p>
        </w:tc>
        <w:tc>
          <w:tcPr>
            <w:tcW w:w="3281" w:type="dxa"/>
            <w:gridSpan w:val="4"/>
            <w:tcBorders>
              <w:top w:val="nil"/>
              <w:left w:val="nil"/>
              <w:bottom w:val="nil"/>
              <w:right w:val="nil"/>
            </w:tcBorders>
            <w:shd w:val="clear" w:color="auto" w:fill="auto"/>
            <w:noWrap/>
            <w:tcMar>
              <w:top w:w="15" w:type="dxa"/>
              <w:left w:w="15" w:type="dxa"/>
              <w:right w:w="15" w:type="dxa"/>
            </w:tcMar>
            <w:vAlign w:val="center"/>
          </w:tcPr>
          <w:p w14:paraId="1997D68F">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2172" w:type="dxa"/>
            <w:gridSpan w:val="5"/>
            <w:tcBorders>
              <w:top w:val="nil"/>
              <w:left w:val="nil"/>
              <w:bottom w:val="nil"/>
              <w:right w:val="nil"/>
            </w:tcBorders>
            <w:shd w:val="clear" w:color="auto" w:fill="auto"/>
            <w:noWrap/>
            <w:tcMar>
              <w:top w:w="15" w:type="dxa"/>
              <w:left w:w="15" w:type="dxa"/>
              <w:right w:w="15" w:type="dxa"/>
            </w:tcMar>
            <w:vAlign w:val="center"/>
          </w:tcPr>
          <w:p w14:paraId="33BE5778">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13009661820</w:t>
            </w:r>
          </w:p>
        </w:tc>
      </w:tr>
    </w:tbl>
    <w:p w14:paraId="0505032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b w:val="0"/>
          <w:sz w:val="32"/>
          <w:szCs w:val="32"/>
        </w:rPr>
      </w:pPr>
    </w:p>
    <w:tbl>
      <w:tblPr>
        <w:tblStyle w:val="5"/>
        <w:tblW w:w="920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6"/>
        <w:gridCol w:w="608"/>
        <w:gridCol w:w="954"/>
        <w:gridCol w:w="207"/>
        <w:gridCol w:w="1369"/>
        <w:gridCol w:w="1190"/>
        <w:gridCol w:w="915"/>
        <w:gridCol w:w="1068"/>
        <w:gridCol w:w="127"/>
        <w:gridCol w:w="233"/>
        <w:gridCol w:w="197"/>
        <w:gridCol w:w="481"/>
        <w:gridCol w:w="390"/>
        <w:gridCol w:w="923"/>
      </w:tblGrid>
      <w:tr w14:paraId="417D7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9208" w:type="dxa"/>
            <w:gridSpan w:val="14"/>
            <w:tcBorders>
              <w:top w:val="nil"/>
              <w:left w:val="nil"/>
              <w:bottom w:val="nil"/>
              <w:right w:val="nil"/>
            </w:tcBorders>
            <w:shd w:val="clear" w:color="auto" w:fill="auto"/>
            <w:tcMar>
              <w:top w:w="15" w:type="dxa"/>
              <w:left w:w="15" w:type="dxa"/>
              <w:right w:w="15" w:type="dxa"/>
            </w:tcMar>
            <w:vAlign w:val="center"/>
          </w:tcPr>
          <w:p w14:paraId="7DA1594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753F1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9208" w:type="dxa"/>
            <w:gridSpan w:val="14"/>
            <w:tcBorders>
              <w:top w:val="nil"/>
              <w:left w:val="nil"/>
              <w:bottom w:val="nil"/>
              <w:right w:val="nil"/>
            </w:tcBorders>
            <w:shd w:val="clear" w:color="auto" w:fill="auto"/>
            <w:tcMar>
              <w:top w:w="15" w:type="dxa"/>
              <w:left w:w="15" w:type="dxa"/>
              <w:right w:w="15" w:type="dxa"/>
            </w:tcMar>
            <w:vAlign w:val="center"/>
          </w:tcPr>
          <w:p w14:paraId="2B28B2D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(2024年度)</w:t>
            </w:r>
          </w:p>
        </w:tc>
      </w:tr>
      <w:tr w14:paraId="28161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1AD7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8054"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459F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追加本级信息化专项（办公电脑采购质保金）</w:t>
            </w:r>
          </w:p>
        </w:tc>
      </w:tr>
      <w:tr w14:paraId="59DB6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D9CB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37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CC40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区委、管委会（区政府）办公室</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CA73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341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9548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乌鲁木齐经济技术开发区管理委员会（乌鲁木齐市头屯河区人民政府）办公室</w:t>
            </w:r>
          </w:p>
        </w:tc>
      </w:tr>
      <w:tr w14:paraId="78126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15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67B8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11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C085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5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530C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DD82B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0335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AAFB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8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A91F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42D9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14:paraId="56193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1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DEC7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6EF2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25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6A16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1.61</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FC5C8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1.61</w:t>
            </w:r>
          </w:p>
        </w:tc>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57CF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1.61</w:t>
            </w:r>
          </w:p>
        </w:tc>
        <w:tc>
          <w:tcPr>
            <w:tcW w:w="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C4D8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C2C7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A9E1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10.00分</w:t>
            </w:r>
          </w:p>
        </w:tc>
      </w:tr>
      <w:tr w14:paraId="1410F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1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7C3D0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BA3EE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25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AF26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1.61</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78755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1.61</w:t>
            </w:r>
          </w:p>
        </w:tc>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DB2D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1.61</w:t>
            </w:r>
          </w:p>
        </w:tc>
        <w:tc>
          <w:tcPr>
            <w:tcW w:w="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5951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0436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598A6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4C498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1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F0A22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82BE6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25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E49C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9DBB9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1CF55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7D34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BE3F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C2321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30A58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5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87D6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524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42FA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341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624C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14:paraId="7F947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30" w:hRule="atLeast"/>
        </w:trPr>
        <w:tc>
          <w:tcPr>
            <w:tcW w:w="5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92B8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4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54178308">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围绕办公室工作，立足本职、服务大局，项目资金1.615万元，用于支付办公电脑采购质保金项目款，有利于建设障我区覆盖全面、方便快捷、安全高效的办公网络。保障全区信息化工作正常开展。</w:t>
            </w:r>
          </w:p>
        </w:tc>
        <w:tc>
          <w:tcPr>
            <w:tcW w:w="341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2A12C54">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截至2024年12月31日，共支付项目资金1.615万元，支付了办公电脑采购质保金项目款，保障了我区覆盖全面、方便快捷、安全高效的办公网络。保障了全区信息化工作正常开展。</w:t>
            </w:r>
          </w:p>
        </w:tc>
      </w:tr>
      <w:tr w14:paraId="3F128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5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5704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3867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95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2A3A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76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2C5C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B7BC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10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8BE5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3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C3DE8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67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25AC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3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6E1C8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14:paraId="66797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5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8E0AE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7886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B00C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76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FF03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F30E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C1F66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8B963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7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8F86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A8D04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33FF1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ECFB8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2FBB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9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CE45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76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0346B7">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办公电脑采购数</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2C35E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=30台</w:t>
            </w:r>
          </w:p>
        </w:tc>
        <w:tc>
          <w:tcPr>
            <w:tcW w:w="10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BC21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=30台</w:t>
            </w:r>
          </w:p>
        </w:tc>
        <w:tc>
          <w:tcPr>
            <w:tcW w:w="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CBC5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FA52A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4D9C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47CDF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56E3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9BF5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5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064B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76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4A22DE">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采购办公电脑使用率</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0CE2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0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DB1F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2285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8C3E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54F1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423F8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D615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CE64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E2B4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76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C8D84F">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采购程序合规率</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D5C80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0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87C5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D060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5027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33EF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304C7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8864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2BB84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EAD30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76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05F41F">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资金支付及速率</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42AC8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0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725E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8F778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3B6D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5463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2C3E8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29CB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4986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9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8A27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276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5EF7C1">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项目预算控制率</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8707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&lt;=100%</w:t>
            </w:r>
          </w:p>
        </w:tc>
        <w:tc>
          <w:tcPr>
            <w:tcW w:w="10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9658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686E2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0650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17284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31978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E298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3981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9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4D24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76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7A7A94">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达到办公电脑保障工作效益效果</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9BD2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w:t>
            </w:r>
          </w:p>
        </w:tc>
        <w:tc>
          <w:tcPr>
            <w:tcW w:w="10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48F12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w:t>
            </w:r>
          </w:p>
        </w:tc>
        <w:tc>
          <w:tcPr>
            <w:tcW w:w="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C78E3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4C64F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9859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309B4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8D0E6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C78E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9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93546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276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E9C1DB">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工作人员满意度</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04F35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10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7307D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6A03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A7DC5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499E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6FD84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2CA0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4067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4F01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07"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BDB33DF">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1369"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592F0F92">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119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3350FB9">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87E9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1A16A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486C3B5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3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0FCBA1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9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B85610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5294C3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9C36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43C9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286A7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6857"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5B09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BCF4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1DC6A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100.00分</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A2F7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6AF82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154" w:type="dxa"/>
            <w:gridSpan w:val="2"/>
            <w:tcBorders>
              <w:top w:val="single" w:color="000000" w:sz="4" w:space="0"/>
              <w:left w:val="nil"/>
              <w:bottom w:val="nil"/>
              <w:right w:val="nil"/>
            </w:tcBorders>
            <w:shd w:val="clear" w:color="auto" w:fill="auto"/>
            <w:tcMar>
              <w:top w:w="15" w:type="dxa"/>
              <w:left w:w="15" w:type="dxa"/>
              <w:right w:w="15" w:type="dxa"/>
            </w:tcMar>
            <w:vAlign w:val="center"/>
          </w:tcPr>
          <w:p w14:paraId="2E55A4BF">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经办人：</w:t>
            </w:r>
          </w:p>
        </w:tc>
        <w:tc>
          <w:tcPr>
            <w:tcW w:w="2530" w:type="dxa"/>
            <w:gridSpan w:val="3"/>
            <w:tcBorders>
              <w:top w:val="single" w:color="000000" w:sz="4" w:space="0"/>
              <w:left w:val="nil"/>
              <w:bottom w:val="nil"/>
              <w:right w:val="nil"/>
            </w:tcBorders>
            <w:shd w:val="clear" w:color="auto" w:fill="auto"/>
            <w:tcMar>
              <w:top w:w="15" w:type="dxa"/>
              <w:left w:w="15" w:type="dxa"/>
              <w:right w:w="15" w:type="dxa"/>
            </w:tcMar>
            <w:vAlign w:val="center"/>
          </w:tcPr>
          <w:p w14:paraId="503E5C1C">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李先生</w:t>
            </w:r>
          </w:p>
        </w:tc>
        <w:tc>
          <w:tcPr>
            <w:tcW w:w="3300" w:type="dxa"/>
            <w:gridSpan w:val="4"/>
            <w:tcBorders>
              <w:top w:val="single" w:color="000000" w:sz="4" w:space="0"/>
              <w:left w:val="nil"/>
              <w:bottom w:val="nil"/>
              <w:right w:val="nil"/>
            </w:tcBorders>
            <w:shd w:val="clear" w:color="auto" w:fill="auto"/>
            <w:tcMar>
              <w:top w:w="15" w:type="dxa"/>
              <w:left w:w="15" w:type="dxa"/>
              <w:right w:w="15" w:type="dxa"/>
            </w:tcMar>
            <w:vAlign w:val="center"/>
          </w:tcPr>
          <w:p w14:paraId="5DE96547">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2224" w:type="dxa"/>
            <w:gridSpan w:val="5"/>
            <w:tcBorders>
              <w:top w:val="single" w:color="000000" w:sz="4" w:space="0"/>
              <w:left w:val="nil"/>
              <w:bottom w:val="nil"/>
              <w:right w:val="nil"/>
            </w:tcBorders>
            <w:shd w:val="clear" w:color="auto" w:fill="auto"/>
            <w:tcMar>
              <w:top w:w="15" w:type="dxa"/>
              <w:left w:w="15" w:type="dxa"/>
              <w:right w:w="15" w:type="dxa"/>
            </w:tcMar>
            <w:vAlign w:val="center"/>
          </w:tcPr>
          <w:p w14:paraId="33BC011C">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r>
      <w:tr w14:paraId="75D3A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154" w:type="dxa"/>
            <w:gridSpan w:val="2"/>
            <w:tcBorders>
              <w:top w:val="nil"/>
              <w:left w:val="nil"/>
              <w:bottom w:val="nil"/>
              <w:right w:val="nil"/>
            </w:tcBorders>
            <w:shd w:val="clear" w:color="auto" w:fill="auto"/>
            <w:noWrap/>
            <w:tcMar>
              <w:top w:w="15" w:type="dxa"/>
              <w:left w:w="15" w:type="dxa"/>
              <w:right w:w="15" w:type="dxa"/>
            </w:tcMar>
            <w:vAlign w:val="center"/>
          </w:tcPr>
          <w:p w14:paraId="5C135614">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联系人：</w:t>
            </w:r>
          </w:p>
        </w:tc>
        <w:tc>
          <w:tcPr>
            <w:tcW w:w="2530" w:type="dxa"/>
            <w:gridSpan w:val="3"/>
            <w:tcBorders>
              <w:top w:val="nil"/>
              <w:left w:val="nil"/>
              <w:bottom w:val="nil"/>
              <w:right w:val="nil"/>
            </w:tcBorders>
            <w:shd w:val="clear" w:color="auto" w:fill="auto"/>
            <w:noWrap/>
            <w:tcMar>
              <w:top w:w="15" w:type="dxa"/>
              <w:left w:w="15" w:type="dxa"/>
              <w:right w:w="15" w:type="dxa"/>
            </w:tcMar>
            <w:vAlign w:val="center"/>
          </w:tcPr>
          <w:p w14:paraId="2C7A5B5B">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吉先生</w:t>
            </w:r>
          </w:p>
        </w:tc>
        <w:tc>
          <w:tcPr>
            <w:tcW w:w="3300" w:type="dxa"/>
            <w:gridSpan w:val="4"/>
            <w:tcBorders>
              <w:top w:val="nil"/>
              <w:left w:val="nil"/>
              <w:bottom w:val="nil"/>
              <w:right w:val="nil"/>
            </w:tcBorders>
            <w:shd w:val="clear" w:color="auto" w:fill="auto"/>
            <w:noWrap/>
            <w:tcMar>
              <w:top w:w="15" w:type="dxa"/>
              <w:left w:w="15" w:type="dxa"/>
              <w:right w:w="15" w:type="dxa"/>
            </w:tcMar>
            <w:vAlign w:val="center"/>
          </w:tcPr>
          <w:p w14:paraId="158E4936">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2224" w:type="dxa"/>
            <w:gridSpan w:val="5"/>
            <w:tcBorders>
              <w:top w:val="nil"/>
              <w:left w:val="nil"/>
              <w:bottom w:val="nil"/>
              <w:right w:val="nil"/>
            </w:tcBorders>
            <w:shd w:val="clear" w:color="auto" w:fill="auto"/>
            <w:noWrap/>
            <w:tcMar>
              <w:top w:w="15" w:type="dxa"/>
              <w:left w:w="15" w:type="dxa"/>
              <w:right w:w="15" w:type="dxa"/>
            </w:tcMar>
            <w:vAlign w:val="center"/>
          </w:tcPr>
          <w:p w14:paraId="19B67B90">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3782709</w:t>
            </w:r>
          </w:p>
        </w:tc>
      </w:tr>
    </w:tbl>
    <w:p w14:paraId="37FA4D5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b w:val="0"/>
          <w:sz w:val="32"/>
          <w:szCs w:val="32"/>
        </w:rPr>
      </w:pPr>
    </w:p>
    <w:tbl>
      <w:tblPr>
        <w:tblStyle w:val="5"/>
        <w:tblW w:w="920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50"/>
        <w:gridCol w:w="615"/>
        <w:gridCol w:w="1062"/>
        <w:gridCol w:w="194"/>
        <w:gridCol w:w="1291"/>
        <w:gridCol w:w="1245"/>
        <w:gridCol w:w="836"/>
        <w:gridCol w:w="1039"/>
        <w:gridCol w:w="120"/>
        <w:gridCol w:w="224"/>
        <w:gridCol w:w="192"/>
        <w:gridCol w:w="469"/>
        <w:gridCol w:w="372"/>
        <w:gridCol w:w="899"/>
      </w:tblGrid>
      <w:tr w14:paraId="4014F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9208" w:type="dxa"/>
            <w:gridSpan w:val="14"/>
            <w:tcBorders>
              <w:top w:val="nil"/>
              <w:left w:val="nil"/>
              <w:bottom w:val="nil"/>
              <w:right w:val="nil"/>
            </w:tcBorders>
            <w:shd w:val="clear" w:color="auto" w:fill="auto"/>
            <w:tcMar>
              <w:top w:w="15" w:type="dxa"/>
              <w:left w:w="15" w:type="dxa"/>
              <w:right w:w="15" w:type="dxa"/>
            </w:tcMar>
            <w:vAlign w:val="center"/>
          </w:tcPr>
          <w:p w14:paraId="31FD41E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65899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9208" w:type="dxa"/>
            <w:gridSpan w:val="14"/>
            <w:tcBorders>
              <w:top w:val="nil"/>
              <w:left w:val="nil"/>
              <w:bottom w:val="nil"/>
              <w:right w:val="nil"/>
            </w:tcBorders>
            <w:shd w:val="clear" w:color="auto" w:fill="auto"/>
            <w:tcMar>
              <w:top w:w="15" w:type="dxa"/>
              <w:left w:w="15" w:type="dxa"/>
              <w:right w:w="15" w:type="dxa"/>
            </w:tcMar>
            <w:vAlign w:val="center"/>
          </w:tcPr>
          <w:p w14:paraId="7F218DC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(2024年度)</w:t>
            </w:r>
          </w:p>
        </w:tc>
      </w:tr>
      <w:tr w14:paraId="544E2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2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7AE9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943"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F384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追加本级信息化专项（门户网站IPv6改造项目）</w:t>
            </w:r>
          </w:p>
        </w:tc>
      </w:tr>
      <w:tr w14:paraId="660E7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2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5964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37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8F75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区委、管委会（区政府）办公室</w:t>
            </w:r>
          </w:p>
        </w:tc>
        <w:tc>
          <w:tcPr>
            <w:tcW w:w="8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C5F23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33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932D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乌鲁木齐经济技术开发区管理委员会（乌鲁木齐市头屯河区人民政府）办公室</w:t>
            </w:r>
          </w:p>
        </w:tc>
      </w:tr>
      <w:tr w14:paraId="3D554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2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47B6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4B5C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240E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8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2E54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1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0BA8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4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031D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8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1B4F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87A9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14:paraId="19520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2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37F4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B165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2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1F1E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1.40</w:t>
            </w:r>
          </w:p>
        </w:tc>
        <w:tc>
          <w:tcPr>
            <w:tcW w:w="8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5BC3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11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70EB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1.40</w:t>
            </w:r>
          </w:p>
        </w:tc>
        <w:tc>
          <w:tcPr>
            <w:tcW w:w="4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4430A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411A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A3720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10.00分</w:t>
            </w:r>
          </w:p>
        </w:tc>
      </w:tr>
      <w:tr w14:paraId="08C69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2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9A8C5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C46C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2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2F9B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8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C403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11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9787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4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38055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508E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FAD1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451F0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2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B73A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3FB9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2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2630D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9BDB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1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9380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4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5A39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941D4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CF61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20ED0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D55F5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524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7DAE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33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BA5D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14:paraId="55E0A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30"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3721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24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6543D433">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围绕区委中心工作，立足本职、服务大局，项目资金1.4万元，为本区门户网站提供IPv6链接和域名解析服务，保障全区信息化工作正常开展。</w:t>
            </w:r>
          </w:p>
        </w:tc>
        <w:tc>
          <w:tcPr>
            <w:tcW w:w="33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0F71FA24">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项目资金1.4万元，为本区门户网站提供l了IPv6链接和域名解析服务，保障了全区政务公开工作正常开展。</w:t>
            </w:r>
          </w:p>
        </w:tc>
      </w:tr>
      <w:tr w14:paraId="36039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D2B0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9C93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10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84433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73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13CF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8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0AED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10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C6DC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34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BA4F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66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D8B1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2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56DB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14:paraId="402E0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7042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E147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AD5A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7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E3A9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7A8D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B06A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EE45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16A3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AC2D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2D3D7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F34C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BF716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7D08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A2DC57">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互联网线路租赁线路数</w:t>
            </w:r>
          </w:p>
        </w:tc>
        <w:tc>
          <w:tcPr>
            <w:tcW w:w="8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6BF1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=1条</w:t>
            </w:r>
          </w:p>
        </w:tc>
        <w:tc>
          <w:tcPr>
            <w:tcW w:w="10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0BCE9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=1条</w:t>
            </w:r>
          </w:p>
        </w:tc>
        <w:tc>
          <w:tcPr>
            <w:tcW w:w="3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1F03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3080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45C8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7D898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8222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AB15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16E4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7C0D63">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门户网站IPv6改造项目系统数</w:t>
            </w:r>
          </w:p>
        </w:tc>
        <w:tc>
          <w:tcPr>
            <w:tcW w:w="8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56AE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=1个</w:t>
            </w:r>
          </w:p>
        </w:tc>
        <w:tc>
          <w:tcPr>
            <w:tcW w:w="10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A77C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=1个</w:t>
            </w:r>
          </w:p>
        </w:tc>
        <w:tc>
          <w:tcPr>
            <w:tcW w:w="3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3A31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F18F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AEF7F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7AD4A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798D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9A68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1EDD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478756">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互联网保障覆盖率</w:t>
            </w:r>
          </w:p>
        </w:tc>
        <w:tc>
          <w:tcPr>
            <w:tcW w:w="8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8718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0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F40F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291E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2838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8551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20F19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DF6C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BAFAF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1BB3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1A2DF">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资金支付及时率</w:t>
            </w:r>
          </w:p>
        </w:tc>
        <w:tc>
          <w:tcPr>
            <w:tcW w:w="8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5D9F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0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8CFC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9C1D9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7E19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6EB7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49C3A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B7D4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2924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3DC0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31113A">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项目预算控制率</w:t>
            </w:r>
          </w:p>
        </w:tc>
        <w:tc>
          <w:tcPr>
            <w:tcW w:w="8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F6FE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&lt;=100%</w:t>
            </w:r>
          </w:p>
        </w:tc>
        <w:tc>
          <w:tcPr>
            <w:tcW w:w="10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FB9D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B6D2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6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56E9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2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7287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3E0CA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C3C1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15FD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175F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5D7F5A">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提高全区信息化工作开展效率</w:t>
            </w:r>
          </w:p>
        </w:tc>
        <w:tc>
          <w:tcPr>
            <w:tcW w:w="8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1DAE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有效提高</w:t>
            </w:r>
          </w:p>
        </w:tc>
        <w:tc>
          <w:tcPr>
            <w:tcW w:w="10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889D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有效提高</w:t>
            </w:r>
          </w:p>
        </w:tc>
        <w:tc>
          <w:tcPr>
            <w:tcW w:w="3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91C9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6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27BB8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2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3AE4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5254C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B9F0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9785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472C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1AEDB">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工作人员满意度</w:t>
            </w:r>
          </w:p>
        </w:tc>
        <w:tc>
          <w:tcPr>
            <w:tcW w:w="8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11E6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10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8413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3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766B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DAAE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BB85F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6987D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98628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D296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AB52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94"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2BBFA63">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1291"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0C89F764">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124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B7D58AE">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808D4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10B3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F31A18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2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596D1F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92"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377072C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69"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26B697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95A8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CCFC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01021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6932"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EE4BC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3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AC83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31DF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100.00分</w:t>
            </w:r>
          </w:p>
        </w:tc>
        <w:tc>
          <w:tcPr>
            <w:tcW w:w="12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7B9C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1A68E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265" w:type="dxa"/>
            <w:gridSpan w:val="2"/>
            <w:tcBorders>
              <w:top w:val="single" w:color="000000" w:sz="4" w:space="0"/>
              <w:left w:val="nil"/>
              <w:bottom w:val="nil"/>
              <w:right w:val="nil"/>
            </w:tcBorders>
            <w:shd w:val="clear" w:color="auto" w:fill="auto"/>
            <w:tcMar>
              <w:top w:w="15" w:type="dxa"/>
              <w:left w:w="15" w:type="dxa"/>
              <w:right w:w="15" w:type="dxa"/>
            </w:tcMar>
            <w:vAlign w:val="center"/>
          </w:tcPr>
          <w:p w14:paraId="15A4D98D">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经办人：</w:t>
            </w:r>
          </w:p>
        </w:tc>
        <w:tc>
          <w:tcPr>
            <w:tcW w:w="2547" w:type="dxa"/>
            <w:gridSpan w:val="3"/>
            <w:tcBorders>
              <w:top w:val="single" w:color="000000" w:sz="4" w:space="0"/>
              <w:left w:val="nil"/>
              <w:bottom w:val="nil"/>
              <w:right w:val="nil"/>
            </w:tcBorders>
            <w:shd w:val="clear" w:color="auto" w:fill="auto"/>
            <w:tcMar>
              <w:top w:w="15" w:type="dxa"/>
              <w:left w:w="15" w:type="dxa"/>
              <w:right w:w="15" w:type="dxa"/>
            </w:tcMar>
            <w:vAlign w:val="center"/>
          </w:tcPr>
          <w:p w14:paraId="461FB8DF">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李先生</w:t>
            </w:r>
          </w:p>
        </w:tc>
        <w:tc>
          <w:tcPr>
            <w:tcW w:w="3240" w:type="dxa"/>
            <w:gridSpan w:val="4"/>
            <w:tcBorders>
              <w:top w:val="single" w:color="000000" w:sz="4" w:space="0"/>
              <w:left w:val="nil"/>
              <w:bottom w:val="nil"/>
              <w:right w:val="nil"/>
            </w:tcBorders>
            <w:shd w:val="clear" w:color="auto" w:fill="auto"/>
            <w:tcMar>
              <w:top w:w="15" w:type="dxa"/>
              <w:left w:w="15" w:type="dxa"/>
              <w:right w:w="15" w:type="dxa"/>
            </w:tcMar>
            <w:vAlign w:val="center"/>
          </w:tcPr>
          <w:p w14:paraId="44314EE1">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2156" w:type="dxa"/>
            <w:gridSpan w:val="5"/>
            <w:tcBorders>
              <w:top w:val="single" w:color="000000" w:sz="4" w:space="0"/>
              <w:left w:val="nil"/>
              <w:bottom w:val="nil"/>
              <w:right w:val="nil"/>
            </w:tcBorders>
            <w:shd w:val="clear" w:color="auto" w:fill="auto"/>
            <w:tcMar>
              <w:top w:w="15" w:type="dxa"/>
              <w:left w:w="15" w:type="dxa"/>
              <w:right w:w="15" w:type="dxa"/>
            </w:tcMar>
            <w:vAlign w:val="center"/>
          </w:tcPr>
          <w:p w14:paraId="71A19B66">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r>
      <w:tr w14:paraId="3138A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265" w:type="dxa"/>
            <w:gridSpan w:val="2"/>
            <w:tcBorders>
              <w:top w:val="nil"/>
              <w:left w:val="nil"/>
              <w:bottom w:val="nil"/>
              <w:right w:val="nil"/>
            </w:tcBorders>
            <w:shd w:val="clear" w:color="auto" w:fill="auto"/>
            <w:noWrap/>
            <w:tcMar>
              <w:top w:w="15" w:type="dxa"/>
              <w:left w:w="15" w:type="dxa"/>
              <w:right w:w="15" w:type="dxa"/>
            </w:tcMar>
            <w:vAlign w:val="center"/>
          </w:tcPr>
          <w:p w14:paraId="74E2A868">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联系人：</w:t>
            </w:r>
          </w:p>
        </w:tc>
        <w:tc>
          <w:tcPr>
            <w:tcW w:w="2547" w:type="dxa"/>
            <w:gridSpan w:val="3"/>
            <w:tcBorders>
              <w:top w:val="nil"/>
              <w:left w:val="nil"/>
              <w:bottom w:val="nil"/>
              <w:right w:val="nil"/>
            </w:tcBorders>
            <w:shd w:val="clear" w:color="auto" w:fill="auto"/>
            <w:noWrap/>
            <w:tcMar>
              <w:top w:w="15" w:type="dxa"/>
              <w:left w:w="15" w:type="dxa"/>
              <w:right w:w="15" w:type="dxa"/>
            </w:tcMar>
            <w:vAlign w:val="center"/>
          </w:tcPr>
          <w:p w14:paraId="5AD39352">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吉先生</w:t>
            </w:r>
          </w:p>
        </w:tc>
        <w:tc>
          <w:tcPr>
            <w:tcW w:w="3240" w:type="dxa"/>
            <w:gridSpan w:val="4"/>
            <w:tcBorders>
              <w:top w:val="nil"/>
              <w:left w:val="nil"/>
              <w:bottom w:val="nil"/>
              <w:right w:val="nil"/>
            </w:tcBorders>
            <w:shd w:val="clear" w:color="auto" w:fill="auto"/>
            <w:noWrap/>
            <w:tcMar>
              <w:top w:w="15" w:type="dxa"/>
              <w:left w:w="15" w:type="dxa"/>
              <w:right w:w="15" w:type="dxa"/>
            </w:tcMar>
            <w:vAlign w:val="center"/>
          </w:tcPr>
          <w:p w14:paraId="79988170">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2156" w:type="dxa"/>
            <w:gridSpan w:val="5"/>
            <w:tcBorders>
              <w:top w:val="nil"/>
              <w:left w:val="nil"/>
              <w:bottom w:val="nil"/>
              <w:right w:val="nil"/>
            </w:tcBorders>
            <w:shd w:val="clear" w:color="auto" w:fill="auto"/>
            <w:noWrap/>
            <w:tcMar>
              <w:top w:w="15" w:type="dxa"/>
              <w:left w:w="15" w:type="dxa"/>
              <w:right w:w="15" w:type="dxa"/>
            </w:tcMar>
            <w:vAlign w:val="center"/>
          </w:tcPr>
          <w:p w14:paraId="322442F1">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3782709</w:t>
            </w:r>
          </w:p>
        </w:tc>
      </w:tr>
    </w:tbl>
    <w:p w14:paraId="6704C2A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b w:val="0"/>
          <w:sz w:val="32"/>
          <w:szCs w:val="32"/>
        </w:rPr>
      </w:pPr>
    </w:p>
    <w:p w14:paraId="79219D9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b w:val="0"/>
          <w:sz w:val="32"/>
          <w:szCs w:val="32"/>
        </w:rPr>
      </w:pPr>
    </w:p>
    <w:tbl>
      <w:tblPr>
        <w:tblStyle w:val="5"/>
        <w:tblW w:w="920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53"/>
        <w:gridCol w:w="541"/>
        <w:gridCol w:w="818"/>
        <w:gridCol w:w="218"/>
        <w:gridCol w:w="1441"/>
        <w:gridCol w:w="1371"/>
        <w:gridCol w:w="769"/>
        <w:gridCol w:w="1101"/>
        <w:gridCol w:w="131"/>
        <w:gridCol w:w="234"/>
        <w:gridCol w:w="199"/>
        <w:gridCol w:w="489"/>
        <w:gridCol w:w="389"/>
        <w:gridCol w:w="954"/>
      </w:tblGrid>
      <w:tr w14:paraId="6D1BD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9208" w:type="dxa"/>
            <w:gridSpan w:val="14"/>
            <w:tcBorders>
              <w:top w:val="nil"/>
              <w:left w:val="nil"/>
              <w:bottom w:val="nil"/>
              <w:right w:val="nil"/>
            </w:tcBorders>
            <w:shd w:val="clear" w:color="auto" w:fill="auto"/>
            <w:tcMar>
              <w:top w:w="15" w:type="dxa"/>
              <w:left w:w="15" w:type="dxa"/>
              <w:right w:w="15" w:type="dxa"/>
            </w:tcMar>
            <w:vAlign w:val="center"/>
          </w:tcPr>
          <w:p w14:paraId="4D7B87B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757C4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9208" w:type="dxa"/>
            <w:gridSpan w:val="14"/>
            <w:tcBorders>
              <w:top w:val="nil"/>
              <w:left w:val="nil"/>
              <w:bottom w:val="nil"/>
              <w:right w:val="nil"/>
            </w:tcBorders>
            <w:shd w:val="clear" w:color="auto" w:fill="auto"/>
            <w:tcMar>
              <w:top w:w="15" w:type="dxa"/>
              <w:left w:w="15" w:type="dxa"/>
              <w:right w:w="15" w:type="dxa"/>
            </w:tcMar>
            <w:vAlign w:val="center"/>
          </w:tcPr>
          <w:p w14:paraId="1A1DE13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(2024年度)</w:t>
            </w:r>
          </w:p>
        </w:tc>
      </w:tr>
      <w:tr w14:paraId="2B610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0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02AD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8114"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85D94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追加信息化专项（门户网站维护与改造外包服务）</w:t>
            </w:r>
          </w:p>
        </w:tc>
      </w:tr>
      <w:tr w14:paraId="2B7DA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0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B252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384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FCDA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区委、管委会（区政府）办公室</w:t>
            </w:r>
          </w:p>
        </w:tc>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5271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349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1392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乌鲁木齐经济技术开发区管理委员会（乌鲁木齐市头屯河区人民政府）办公室</w:t>
            </w:r>
          </w:p>
        </w:tc>
      </w:tr>
      <w:tr w14:paraId="61384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09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314A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1534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8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E247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6D44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6AB8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4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4628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87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701CF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9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0C56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14:paraId="2EE88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09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A4409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6DB88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28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418A6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9.80</w:t>
            </w:r>
          </w:p>
        </w:tc>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73FD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9.8</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CBBD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9.80</w:t>
            </w:r>
          </w:p>
        </w:tc>
        <w:tc>
          <w:tcPr>
            <w:tcW w:w="4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4ACD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7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7455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9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EA58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10.00分</w:t>
            </w:r>
          </w:p>
        </w:tc>
      </w:tr>
      <w:tr w14:paraId="0AE78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09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94A7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B266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28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8B3F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9.8</w:t>
            </w:r>
          </w:p>
        </w:tc>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F0B07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9.8</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2B898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9.8</w:t>
            </w:r>
          </w:p>
        </w:tc>
        <w:tc>
          <w:tcPr>
            <w:tcW w:w="4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7C53F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7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FC9A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9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776E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06652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09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AED8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9AA9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28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772A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6C0F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3EAF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4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7633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7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0FDE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9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6889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1AE02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FBEDD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515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3A0E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349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3DD4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14:paraId="227C1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30"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736E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15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152E4E67">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围绕办公室工作，立足本职、服务大局，项目资金9.8万元，用于支付门户网站调整与维护外包服务项目款，有利于建设保障我区门户网站信息安全、高效、准确。</w:t>
            </w:r>
          </w:p>
        </w:tc>
        <w:tc>
          <w:tcPr>
            <w:tcW w:w="349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7905ED6E">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项目资金9.8万元，支付了门户网站调整与维护外包服务项目款，保障了我区门户网站信息安全、高效、准确，对我区政务公开工作提供了有力支持。做好了党务、政务方向的综合协调，提升工作人员满意度。</w:t>
            </w:r>
          </w:p>
        </w:tc>
      </w:tr>
      <w:tr w14:paraId="719A4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4B95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DF525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33EF0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303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8E1D6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1C82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7787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3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9DB1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6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29318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3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0D985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14:paraId="51C3C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81E4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3A0E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CECA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0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FF82B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49B8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B4C28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02D9A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D9D8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C384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264D5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1D707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5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B46C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89CF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30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86919">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保障信息系统数量</w:t>
            </w:r>
          </w:p>
        </w:tc>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3027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=1个</w:t>
            </w:r>
          </w:p>
        </w:tc>
        <w:tc>
          <w:tcPr>
            <w:tcW w:w="1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0D6F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=1个</w:t>
            </w:r>
          </w:p>
        </w:tc>
        <w:tc>
          <w:tcPr>
            <w:tcW w:w="3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73C70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64EE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5307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18975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81052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C043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32CF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0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F4BB5A">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保障服务器数量</w:t>
            </w:r>
          </w:p>
        </w:tc>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30CE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=3个</w:t>
            </w:r>
          </w:p>
        </w:tc>
        <w:tc>
          <w:tcPr>
            <w:tcW w:w="1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D061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=3个</w:t>
            </w:r>
          </w:p>
        </w:tc>
        <w:tc>
          <w:tcPr>
            <w:tcW w:w="3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DA08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76F6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A39F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07485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C299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C027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D280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30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FD2B54">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网站响应率</w:t>
            </w:r>
          </w:p>
        </w:tc>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B9E3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AB4B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049F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A9B4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AC53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3F183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E8F9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BC5C7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88D7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30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2EBECB">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资金支付及时率</w:t>
            </w:r>
          </w:p>
        </w:tc>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FB8E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DD750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A5885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DDE6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8E4F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0BA1B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1248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0661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3A88F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30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BC75D3">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项目预算控制率</w:t>
            </w:r>
          </w:p>
        </w:tc>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8C7B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&lt;=100%</w:t>
            </w:r>
          </w:p>
        </w:tc>
        <w:tc>
          <w:tcPr>
            <w:tcW w:w="1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CADD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0D98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261B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0C04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3A584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81D7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41F2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A26B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30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D0B53F">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达到上级单位要求的网站部署情况</w:t>
            </w:r>
          </w:p>
        </w:tc>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2B6C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w:t>
            </w:r>
          </w:p>
        </w:tc>
        <w:tc>
          <w:tcPr>
            <w:tcW w:w="1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D771D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w:t>
            </w:r>
          </w:p>
        </w:tc>
        <w:tc>
          <w:tcPr>
            <w:tcW w:w="3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B22F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D3F9E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7D4D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22C89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EEC89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3AB54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8477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30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89CED3">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社会群众满意度</w:t>
            </w:r>
          </w:p>
        </w:tc>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24B4E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&gt;=90%</w:t>
            </w:r>
          </w:p>
        </w:tc>
        <w:tc>
          <w:tcPr>
            <w:tcW w:w="1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6E86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3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C2A03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AA40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9CE8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6F1B8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1633C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D112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BAB7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1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054A606F">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1441"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65DA4A85">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137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D33BFD4">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4279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7857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1"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3A1B2F0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3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310AD0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9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8F0095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89"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B40F44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20E8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0031E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55781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6812"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68FD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3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D501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6C2F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100.00分</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4FBA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7165A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094" w:type="dxa"/>
            <w:gridSpan w:val="2"/>
            <w:tcBorders>
              <w:top w:val="single" w:color="000000" w:sz="4" w:space="0"/>
              <w:left w:val="nil"/>
              <w:bottom w:val="nil"/>
              <w:right w:val="nil"/>
            </w:tcBorders>
            <w:shd w:val="clear" w:color="auto" w:fill="auto"/>
            <w:tcMar>
              <w:top w:w="15" w:type="dxa"/>
              <w:left w:w="15" w:type="dxa"/>
              <w:right w:w="15" w:type="dxa"/>
            </w:tcMar>
            <w:vAlign w:val="center"/>
          </w:tcPr>
          <w:p w14:paraId="1C4C90FC">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经办人：</w:t>
            </w:r>
          </w:p>
        </w:tc>
        <w:tc>
          <w:tcPr>
            <w:tcW w:w="2477" w:type="dxa"/>
            <w:gridSpan w:val="3"/>
            <w:tcBorders>
              <w:top w:val="single" w:color="000000" w:sz="4" w:space="0"/>
              <w:left w:val="nil"/>
              <w:bottom w:val="nil"/>
              <w:right w:val="nil"/>
            </w:tcBorders>
            <w:shd w:val="clear" w:color="auto" w:fill="auto"/>
            <w:tcMar>
              <w:top w:w="15" w:type="dxa"/>
              <w:left w:w="15" w:type="dxa"/>
              <w:right w:w="15" w:type="dxa"/>
            </w:tcMar>
            <w:vAlign w:val="center"/>
          </w:tcPr>
          <w:p w14:paraId="35730FA2">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李先生</w:t>
            </w:r>
          </w:p>
        </w:tc>
        <w:tc>
          <w:tcPr>
            <w:tcW w:w="3372" w:type="dxa"/>
            <w:gridSpan w:val="4"/>
            <w:tcBorders>
              <w:top w:val="single" w:color="000000" w:sz="4" w:space="0"/>
              <w:left w:val="nil"/>
              <w:bottom w:val="nil"/>
              <w:right w:val="nil"/>
            </w:tcBorders>
            <w:shd w:val="clear" w:color="auto" w:fill="auto"/>
            <w:tcMar>
              <w:top w:w="15" w:type="dxa"/>
              <w:left w:w="15" w:type="dxa"/>
              <w:right w:w="15" w:type="dxa"/>
            </w:tcMar>
            <w:vAlign w:val="center"/>
          </w:tcPr>
          <w:p w14:paraId="6F55F199">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2265" w:type="dxa"/>
            <w:gridSpan w:val="5"/>
            <w:tcBorders>
              <w:top w:val="single" w:color="000000" w:sz="4" w:space="0"/>
              <w:left w:val="nil"/>
              <w:bottom w:val="nil"/>
              <w:right w:val="nil"/>
            </w:tcBorders>
            <w:shd w:val="clear" w:color="auto" w:fill="auto"/>
            <w:tcMar>
              <w:top w:w="15" w:type="dxa"/>
              <w:left w:w="15" w:type="dxa"/>
              <w:right w:w="15" w:type="dxa"/>
            </w:tcMar>
            <w:vAlign w:val="center"/>
          </w:tcPr>
          <w:p w14:paraId="24BD5213">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r>
      <w:tr w14:paraId="435A5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094" w:type="dxa"/>
            <w:gridSpan w:val="2"/>
            <w:tcBorders>
              <w:top w:val="nil"/>
              <w:left w:val="nil"/>
              <w:bottom w:val="nil"/>
              <w:right w:val="nil"/>
            </w:tcBorders>
            <w:shd w:val="clear" w:color="auto" w:fill="auto"/>
            <w:noWrap/>
            <w:tcMar>
              <w:top w:w="15" w:type="dxa"/>
              <w:left w:w="15" w:type="dxa"/>
              <w:right w:w="15" w:type="dxa"/>
            </w:tcMar>
            <w:vAlign w:val="center"/>
          </w:tcPr>
          <w:p w14:paraId="703E2403">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联系人：</w:t>
            </w:r>
          </w:p>
        </w:tc>
        <w:tc>
          <w:tcPr>
            <w:tcW w:w="2477" w:type="dxa"/>
            <w:gridSpan w:val="3"/>
            <w:tcBorders>
              <w:top w:val="nil"/>
              <w:left w:val="nil"/>
              <w:bottom w:val="nil"/>
              <w:right w:val="nil"/>
            </w:tcBorders>
            <w:shd w:val="clear" w:color="auto" w:fill="auto"/>
            <w:noWrap/>
            <w:tcMar>
              <w:top w:w="15" w:type="dxa"/>
              <w:left w:w="15" w:type="dxa"/>
              <w:right w:w="15" w:type="dxa"/>
            </w:tcMar>
            <w:vAlign w:val="center"/>
          </w:tcPr>
          <w:p w14:paraId="37F22B1F">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吉先生</w:t>
            </w:r>
          </w:p>
        </w:tc>
        <w:tc>
          <w:tcPr>
            <w:tcW w:w="3372" w:type="dxa"/>
            <w:gridSpan w:val="4"/>
            <w:tcBorders>
              <w:top w:val="nil"/>
              <w:left w:val="nil"/>
              <w:bottom w:val="nil"/>
              <w:right w:val="nil"/>
            </w:tcBorders>
            <w:shd w:val="clear" w:color="auto" w:fill="auto"/>
            <w:noWrap/>
            <w:tcMar>
              <w:top w:w="15" w:type="dxa"/>
              <w:left w:w="15" w:type="dxa"/>
              <w:right w:w="15" w:type="dxa"/>
            </w:tcMar>
            <w:vAlign w:val="center"/>
          </w:tcPr>
          <w:p w14:paraId="381165A2">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2265" w:type="dxa"/>
            <w:gridSpan w:val="5"/>
            <w:tcBorders>
              <w:top w:val="nil"/>
              <w:left w:val="nil"/>
              <w:bottom w:val="nil"/>
              <w:right w:val="nil"/>
            </w:tcBorders>
            <w:shd w:val="clear" w:color="auto" w:fill="auto"/>
            <w:noWrap/>
            <w:tcMar>
              <w:top w:w="15" w:type="dxa"/>
              <w:left w:w="15" w:type="dxa"/>
              <w:right w:w="15" w:type="dxa"/>
            </w:tcMar>
            <w:vAlign w:val="center"/>
          </w:tcPr>
          <w:p w14:paraId="1A48F751">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3782709</w:t>
            </w:r>
          </w:p>
        </w:tc>
      </w:tr>
    </w:tbl>
    <w:p w14:paraId="11137FB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b w:val="0"/>
          <w:sz w:val="32"/>
          <w:szCs w:val="32"/>
        </w:rPr>
      </w:pPr>
    </w:p>
    <w:tbl>
      <w:tblPr>
        <w:tblStyle w:val="5"/>
        <w:tblW w:w="920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85"/>
        <w:gridCol w:w="495"/>
        <w:gridCol w:w="831"/>
        <w:gridCol w:w="174"/>
        <w:gridCol w:w="1154"/>
        <w:gridCol w:w="1102"/>
        <w:gridCol w:w="751"/>
        <w:gridCol w:w="1552"/>
        <w:gridCol w:w="137"/>
        <w:gridCol w:w="251"/>
        <w:gridCol w:w="198"/>
        <w:gridCol w:w="419"/>
        <w:gridCol w:w="365"/>
        <w:gridCol w:w="1094"/>
      </w:tblGrid>
      <w:tr w14:paraId="50B9A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9208" w:type="dxa"/>
            <w:gridSpan w:val="14"/>
            <w:tcBorders>
              <w:top w:val="nil"/>
              <w:left w:val="nil"/>
              <w:bottom w:val="nil"/>
              <w:right w:val="nil"/>
            </w:tcBorders>
            <w:shd w:val="clear" w:color="auto" w:fill="auto"/>
            <w:tcMar>
              <w:top w:w="15" w:type="dxa"/>
              <w:left w:w="15" w:type="dxa"/>
              <w:right w:w="15" w:type="dxa"/>
            </w:tcMar>
            <w:vAlign w:val="center"/>
          </w:tcPr>
          <w:p w14:paraId="0947674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2F060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9208" w:type="dxa"/>
            <w:gridSpan w:val="14"/>
            <w:tcBorders>
              <w:top w:val="nil"/>
              <w:left w:val="nil"/>
              <w:bottom w:val="nil"/>
              <w:right w:val="nil"/>
            </w:tcBorders>
            <w:shd w:val="clear" w:color="auto" w:fill="auto"/>
            <w:tcMar>
              <w:top w:w="15" w:type="dxa"/>
              <w:left w:w="15" w:type="dxa"/>
              <w:right w:w="15" w:type="dxa"/>
            </w:tcMar>
            <w:vAlign w:val="center"/>
          </w:tcPr>
          <w:p w14:paraId="1F3AAC9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(2024年度)</w:t>
            </w:r>
          </w:p>
        </w:tc>
      </w:tr>
      <w:tr w14:paraId="2BBF7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1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D6EAF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8028"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19011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自然资源分局专项</w:t>
            </w:r>
          </w:p>
        </w:tc>
      </w:tr>
      <w:tr w14:paraId="3D3ED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1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ABAA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326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4F9C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区委、管委会（区政府）办公室</w:t>
            </w: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457E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401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67BE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乌鲁木齐经济技术开发区管理委员会（乌鲁木齐市头屯河区人民政府）办公室</w:t>
            </w:r>
          </w:p>
        </w:tc>
      </w:tr>
      <w:tr w14:paraId="0449E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1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5F87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D723E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2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0B4B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FA4D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B832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5FAE6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C3E9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21B3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14:paraId="30679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1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39776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1D96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22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C04E6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5F5A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91F3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0.36</w:t>
            </w:r>
          </w:p>
        </w:tc>
        <w:tc>
          <w:tcPr>
            <w:tcW w:w="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F604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E7422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36.00%</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C4CB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3.60分</w:t>
            </w:r>
          </w:p>
        </w:tc>
      </w:tr>
      <w:tr w14:paraId="2DF8A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1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FD56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5428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22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BCAF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BDC6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CA43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0.36</w:t>
            </w:r>
          </w:p>
        </w:tc>
        <w:tc>
          <w:tcPr>
            <w:tcW w:w="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2D9C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1B79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6A4F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1072B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1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DCD8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B1DB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22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80FE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6309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867A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8B3F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17CE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69DB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55575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4E0DA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450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0877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401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57B1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14:paraId="62408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30" w:hRule="atLeast"/>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ED4D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50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0460D92B">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根据自然资源管理工作需要，本项目总投资1万元，主要用于保障自然资源日常工作正常开展。</w:t>
            </w:r>
          </w:p>
        </w:tc>
        <w:tc>
          <w:tcPr>
            <w:tcW w:w="401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2EFD2A4F">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截至2024年12月31日，项目支付0.36万元，保障了自然资源日常工作正常开展。用于支付本年度自然资源分局保障办公经费，便于分局开展各项业务工作，支持经开区经济高质量发展。</w:t>
            </w:r>
          </w:p>
        </w:tc>
      </w:tr>
      <w:tr w14:paraId="47B32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F87F8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FC0F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CA1D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43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14AA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7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DD8FD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15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B76A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3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90C5C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6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7DB53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45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4EA2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14:paraId="5F4F3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42E8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B5D8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636F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4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26E3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7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C64CA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5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DCD5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C6C0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F90F2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4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DA45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7F6F4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0440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4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ACCF2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218F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4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5B6FAC">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办公用品购买次数</w:t>
            </w: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2DB2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&gt;=4次</w:t>
            </w:r>
          </w:p>
        </w:tc>
        <w:tc>
          <w:tcPr>
            <w:tcW w:w="1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AEDD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=0次</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D2C9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0F15F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305A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原因：正在进行财政审批手续，改进措施：下一年度按进度及时支付。</w:t>
            </w:r>
          </w:p>
        </w:tc>
      </w:tr>
      <w:tr w14:paraId="30BD5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12B3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8D15E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F012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4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B6D86B">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电话费支付月份</w:t>
            </w: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D560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&lt;=12个月</w:t>
            </w:r>
          </w:p>
        </w:tc>
        <w:tc>
          <w:tcPr>
            <w:tcW w:w="1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4A85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=12个月</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06AA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285E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CAD7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5B224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83AB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EAC0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04AB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4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00C80B">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业务工作完成合格率</w:t>
            </w: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4BAFF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6678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B88C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2633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5F48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09086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57DD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9E3C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A6C9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4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E73A86">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评价业务完成及时率</w:t>
            </w: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D412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&gt;=98%</w:t>
            </w:r>
          </w:p>
        </w:tc>
        <w:tc>
          <w:tcPr>
            <w:tcW w:w="1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A43F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=98%</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87D4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CABB3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B3EBD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310A4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3659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EF22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80CB8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24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E92044">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购买办公用品费用</w:t>
            </w: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0BAD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&lt;=0.50万元</w:t>
            </w:r>
          </w:p>
        </w:tc>
        <w:tc>
          <w:tcPr>
            <w:tcW w:w="1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08D56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=0万元</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A12FB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4FCE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850F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原因：正在进行财政审批手续，改进措施：下一年度按进度及时支付。</w:t>
            </w:r>
          </w:p>
        </w:tc>
      </w:tr>
      <w:tr w14:paraId="108F5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40E3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479B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E4E8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4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E3D359">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电话费支付费用</w:t>
            </w: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9C58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&lt;=0.50万元</w:t>
            </w:r>
          </w:p>
        </w:tc>
        <w:tc>
          <w:tcPr>
            <w:tcW w:w="1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528E5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=0.36万元</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12BA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6F8C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7.2</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AB9E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原因：正在进行财政审批手续，改进措施：下一年度按进度及时支付。</w:t>
            </w:r>
          </w:p>
        </w:tc>
      </w:tr>
      <w:tr w14:paraId="5D955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2ABB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D5F2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9AA9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4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FE96C">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保障自然资源工作正常运行</w:t>
            </w: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474CF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w:t>
            </w:r>
          </w:p>
        </w:tc>
        <w:tc>
          <w:tcPr>
            <w:tcW w:w="1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1079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ABB3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6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AEBF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F9898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147E2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299E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8F88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0733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24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3765E2">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工作人员满意度</w:t>
            </w: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24B9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1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E6DB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9AD2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3E4EE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E4A7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66059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F50D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CF442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F1BD6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74"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0C636B9">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1154"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5755A9D6">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110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EF1F0E9">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A6103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C6D8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58F55A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5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DDE900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9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3A80102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19"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598668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CDB4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8CEE9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32BD0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674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2A91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2E73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24966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70.80分</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8A35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50535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180" w:type="dxa"/>
            <w:gridSpan w:val="2"/>
            <w:tcBorders>
              <w:top w:val="single" w:color="000000" w:sz="4" w:space="0"/>
              <w:left w:val="nil"/>
              <w:bottom w:val="nil"/>
              <w:right w:val="nil"/>
            </w:tcBorders>
            <w:shd w:val="clear" w:color="auto" w:fill="auto"/>
            <w:tcMar>
              <w:top w:w="15" w:type="dxa"/>
              <w:left w:w="15" w:type="dxa"/>
              <w:right w:w="15" w:type="dxa"/>
            </w:tcMar>
            <w:vAlign w:val="center"/>
          </w:tcPr>
          <w:p w14:paraId="5B3CA82C">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经办人：</w:t>
            </w:r>
          </w:p>
        </w:tc>
        <w:tc>
          <w:tcPr>
            <w:tcW w:w="2159" w:type="dxa"/>
            <w:gridSpan w:val="3"/>
            <w:tcBorders>
              <w:top w:val="single" w:color="000000" w:sz="4" w:space="0"/>
              <w:left w:val="nil"/>
              <w:bottom w:val="nil"/>
              <w:right w:val="nil"/>
            </w:tcBorders>
            <w:shd w:val="clear" w:color="auto" w:fill="auto"/>
            <w:tcMar>
              <w:top w:w="15" w:type="dxa"/>
              <w:left w:w="15" w:type="dxa"/>
              <w:right w:w="15" w:type="dxa"/>
            </w:tcMar>
            <w:vAlign w:val="center"/>
          </w:tcPr>
          <w:p w14:paraId="1710F3FE">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艾先生</w:t>
            </w:r>
          </w:p>
        </w:tc>
        <w:tc>
          <w:tcPr>
            <w:tcW w:w="3542" w:type="dxa"/>
            <w:gridSpan w:val="4"/>
            <w:tcBorders>
              <w:top w:val="single" w:color="000000" w:sz="4" w:space="0"/>
              <w:left w:val="nil"/>
              <w:bottom w:val="nil"/>
              <w:right w:val="nil"/>
            </w:tcBorders>
            <w:shd w:val="clear" w:color="auto" w:fill="auto"/>
            <w:tcMar>
              <w:top w:w="15" w:type="dxa"/>
              <w:left w:w="15" w:type="dxa"/>
              <w:right w:w="15" w:type="dxa"/>
            </w:tcMar>
            <w:vAlign w:val="center"/>
          </w:tcPr>
          <w:p w14:paraId="7E5A3417">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2327" w:type="dxa"/>
            <w:gridSpan w:val="5"/>
            <w:tcBorders>
              <w:top w:val="single" w:color="000000" w:sz="4" w:space="0"/>
              <w:left w:val="nil"/>
              <w:bottom w:val="nil"/>
              <w:right w:val="nil"/>
            </w:tcBorders>
            <w:shd w:val="clear" w:color="auto" w:fill="auto"/>
            <w:tcMar>
              <w:top w:w="15" w:type="dxa"/>
              <w:left w:w="15" w:type="dxa"/>
              <w:right w:w="15" w:type="dxa"/>
            </w:tcMar>
            <w:vAlign w:val="center"/>
          </w:tcPr>
          <w:p w14:paraId="2DCF5407">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r>
      <w:tr w14:paraId="22DC5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180" w:type="dxa"/>
            <w:gridSpan w:val="2"/>
            <w:tcBorders>
              <w:top w:val="nil"/>
              <w:left w:val="nil"/>
              <w:bottom w:val="nil"/>
              <w:right w:val="nil"/>
            </w:tcBorders>
            <w:shd w:val="clear" w:color="auto" w:fill="auto"/>
            <w:noWrap/>
            <w:tcMar>
              <w:top w:w="15" w:type="dxa"/>
              <w:left w:w="15" w:type="dxa"/>
              <w:right w:w="15" w:type="dxa"/>
            </w:tcMar>
            <w:vAlign w:val="center"/>
          </w:tcPr>
          <w:p w14:paraId="1CB00AD9">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联系人：</w:t>
            </w:r>
          </w:p>
        </w:tc>
        <w:tc>
          <w:tcPr>
            <w:tcW w:w="2159" w:type="dxa"/>
            <w:gridSpan w:val="3"/>
            <w:tcBorders>
              <w:top w:val="nil"/>
              <w:left w:val="nil"/>
              <w:bottom w:val="nil"/>
              <w:right w:val="nil"/>
            </w:tcBorders>
            <w:shd w:val="clear" w:color="auto" w:fill="auto"/>
            <w:noWrap/>
            <w:tcMar>
              <w:top w:w="15" w:type="dxa"/>
              <w:left w:w="15" w:type="dxa"/>
              <w:right w:w="15" w:type="dxa"/>
            </w:tcMar>
            <w:vAlign w:val="center"/>
          </w:tcPr>
          <w:p w14:paraId="43DF2BA4">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热先生</w:t>
            </w:r>
          </w:p>
        </w:tc>
        <w:tc>
          <w:tcPr>
            <w:tcW w:w="3542" w:type="dxa"/>
            <w:gridSpan w:val="4"/>
            <w:tcBorders>
              <w:top w:val="nil"/>
              <w:left w:val="nil"/>
              <w:bottom w:val="nil"/>
              <w:right w:val="nil"/>
            </w:tcBorders>
            <w:shd w:val="clear" w:color="auto" w:fill="auto"/>
            <w:noWrap/>
            <w:tcMar>
              <w:top w:w="15" w:type="dxa"/>
              <w:left w:w="15" w:type="dxa"/>
              <w:right w:w="15" w:type="dxa"/>
            </w:tcMar>
            <w:vAlign w:val="center"/>
          </w:tcPr>
          <w:p w14:paraId="74EC652D">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2327" w:type="dxa"/>
            <w:gridSpan w:val="5"/>
            <w:tcBorders>
              <w:top w:val="nil"/>
              <w:left w:val="nil"/>
              <w:bottom w:val="nil"/>
              <w:right w:val="nil"/>
            </w:tcBorders>
            <w:shd w:val="clear" w:color="auto" w:fill="auto"/>
            <w:noWrap/>
            <w:tcMar>
              <w:top w:w="15" w:type="dxa"/>
              <w:left w:w="15" w:type="dxa"/>
              <w:right w:w="15" w:type="dxa"/>
            </w:tcMar>
            <w:vAlign w:val="center"/>
          </w:tcPr>
          <w:p w14:paraId="680A1672">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3782553</w:t>
            </w:r>
          </w:p>
        </w:tc>
      </w:tr>
    </w:tbl>
    <w:p w14:paraId="52351521">
      <w:pPr>
        <w:pStyle w:val="2"/>
        <w:keepNext w:val="0"/>
        <w:keepLines w:val="0"/>
        <w:pageBreakBefore w:val="0"/>
        <w:kinsoku/>
        <w:wordWrap/>
        <w:overflowPunct/>
        <w:topLinePunct w:val="0"/>
        <w:autoSpaceDE/>
        <w:autoSpaceDN/>
        <w:bidi w:val="0"/>
        <w:adjustRightInd/>
        <w:spacing w:line="560" w:lineRule="exact"/>
      </w:pPr>
    </w:p>
    <w:p w14:paraId="0EB001B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b w:val="0"/>
          <w:sz w:val="32"/>
          <w:szCs w:val="32"/>
        </w:rPr>
      </w:pPr>
    </w:p>
    <w:tbl>
      <w:tblPr>
        <w:tblStyle w:val="5"/>
        <w:tblW w:w="920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66"/>
        <w:gridCol w:w="614"/>
        <w:gridCol w:w="988"/>
        <w:gridCol w:w="179"/>
        <w:gridCol w:w="1192"/>
        <w:gridCol w:w="990"/>
        <w:gridCol w:w="945"/>
        <w:gridCol w:w="1511"/>
        <w:gridCol w:w="131"/>
        <w:gridCol w:w="242"/>
        <w:gridCol w:w="187"/>
        <w:gridCol w:w="408"/>
        <w:gridCol w:w="352"/>
        <w:gridCol w:w="903"/>
      </w:tblGrid>
      <w:tr w14:paraId="0B97D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9208" w:type="dxa"/>
            <w:gridSpan w:val="14"/>
            <w:tcBorders>
              <w:top w:val="nil"/>
              <w:left w:val="nil"/>
              <w:bottom w:val="nil"/>
              <w:right w:val="nil"/>
            </w:tcBorders>
            <w:shd w:val="clear" w:color="auto" w:fill="auto"/>
            <w:tcMar>
              <w:top w:w="15" w:type="dxa"/>
              <w:left w:w="15" w:type="dxa"/>
              <w:right w:w="15" w:type="dxa"/>
            </w:tcMar>
            <w:vAlign w:val="center"/>
          </w:tcPr>
          <w:p w14:paraId="64C3D54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3CFC2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9208" w:type="dxa"/>
            <w:gridSpan w:val="14"/>
            <w:tcBorders>
              <w:top w:val="nil"/>
              <w:left w:val="nil"/>
              <w:bottom w:val="nil"/>
              <w:right w:val="nil"/>
            </w:tcBorders>
            <w:shd w:val="clear" w:color="auto" w:fill="auto"/>
            <w:tcMar>
              <w:top w:w="15" w:type="dxa"/>
              <w:left w:w="15" w:type="dxa"/>
              <w:right w:w="15" w:type="dxa"/>
            </w:tcMar>
            <w:vAlign w:val="center"/>
          </w:tcPr>
          <w:p w14:paraId="19CAA6F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(2024年度)</w:t>
            </w:r>
          </w:p>
        </w:tc>
      </w:tr>
      <w:tr w14:paraId="61B73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1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0459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8028"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0119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自然资源专项（租赁车辆运行费）</w:t>
            </w:r>
          </w:p>
        </w:tc>
      </w:tr>
      <w:tr w14:paraId="5FDBB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1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C12F3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334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9E8B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区委、管委会（区政府）办公室</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2B67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373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5E19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乌鲁木齐经济技术开发区管理委员会（乌鲁木齐市头屯河区人民政府）办公室</w:t>
            </w:r>
          </w:p>
        </w:tc>
      </w:tr>
      <w:tr w14:paraId="2FA6F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1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EA3D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4DEB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CA5F9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6C10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75EC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4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537B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7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C438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963E3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14:paraId="7A8D3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1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8D1F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ADA6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2AE6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7.13</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9C7F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7.13</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7C685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6.71</w:t>
            </w:r>
          </w:p>
        </w:tc>
        <w:tc>
          <w:tcPr>
            <w:tcW w:w="4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05E7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E007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94.11%</w:t>
            </w:r>
          </w:p>
        </w:tc>
        <w:tc>
          <w:tcPr>
            <w:tcW w:w="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8C60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9.41分</w:t>
            </w:r>
          </w:p>
        </w:tc>
      </w:tr>
      <w:tr w14:paraId="524F3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1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35A3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85D6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B2CE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7.13</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361A3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7.13</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2CCD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6.71</w:t>
            </w:r>
          </w:p>
        </w:tc>
        <w:tc>
          <w:tcPr>
            <w:tcW w:w="4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C939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7AC76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DC5EE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0797F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1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A52B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ED7B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A0C7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B8CF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4432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4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2641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164D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579CD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7B240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0CE0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490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931C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373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7EEF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14:paraId="688BE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30" w:hRule="atLeast"/>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2E07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90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57AA1CE8">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围绕自治区、经开区“十四五”规划，自然资源系统做好用地保障及经开区范围内耕地保护，自然资源保护。确保严守耕地红线，积极监察违法占地情况，做好经济技术开发区土地出让收入保障。</w:t>
            </w:r>
          </w:p>
        </w:tc>
        <w:tc>
          <w:tcPr>
            <w:tcW w:w="373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2C9A4412">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围绕自治区、经开区“十四五”规划，自然资源系统已完成今年用地保障及经开区范围内耕地保护，自然资源保护。确保了严守耕地红线，积极监察违法占地情况，做好了经济技术开发区土地出让收入保障</w:t>
            </w:r>
          </w:p>
        </w:tc>
      </w:tr>
      <w:tr w14:paraId="10016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76BCC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EAB4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9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D23F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36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C2AE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1972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4F01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3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1E5C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59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8D51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2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2BDF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14:paraId="57F36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B6063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DEC5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48D6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36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71CD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10B4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EE849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C750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56536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AF46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7C261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EF3D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AFAE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9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25E9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36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F5FC2B">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车辆租赁运行数</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D108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=12个月</w:t>
            </w:r>
          </w:p>
        </w:tc>
        <w:tc>
          <w:tcPr>
            <w:tcW w:w="15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813A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=12个月</w:t>
            </w:r>
          </w:p>
        </w:tc>
        <w:tc>
          <w:tcPr>
            <w:tcW w:w="3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E1D4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105F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7ED9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785BC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FE9E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D3FA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932F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36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570B1">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租赁车辆数量</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FC210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=4辆</w:t>
            </w:r>
          </w:p>
        </w:tc>
        <w:tc>
          <w:tcPr>
            <w:tcW w:w="15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BAC5E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=4辆</w:t>
            </w:r>
          </w:p>
        </w:tc>
        <w:tc>
          <w:tcPr>
            <w:tcW w:w="3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E963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ABD7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3834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4C15B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613D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738D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FB7C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36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AB6550">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车辆正常运转率</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DF61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5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7E695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9110B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D60C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4452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44D71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B1FC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3497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83EB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36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2B0B31">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业务工作完成及时率</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0A44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5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F5D1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9DD4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DAE1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A3C68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58295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F32F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EA3A5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9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C39E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236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1C09F6">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车辆日常运行成本</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9F56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&lt;=6.0327万元</w:t>
            </w:r>
          </w:p>
        </w:tc>
        <w:tc>
          <w:tcPr>
            <w:tcW w:w="15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810E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=6.71万元</w:t>
            </w:r>
          </w:p>
        </w:tc>
        <w:tc>
          <w:tcPr>
            <w:tcW w:w="3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9DC9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2C04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A8CB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原因：正在进行财政审批手续，改进措施：下一年度按进度及时支付。</w:t>
            </w:r>
          </w:p>
        </w:tc>
      </w:tr>
      <w:tr w14:paraId="2B129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DD2E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C99D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57DA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36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3E858D">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车辆保险费</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915DA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&lt;=1.09万元</w:t>
            </w:r>
          </w:p>
        </w:tc>
        <w:tc>
          <w:tcPr>
            <w:tcW w:w="15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E911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=0万元</w:t>
            </w:r>
          </w:p>
        </w:tc>
        <w:tc>
          <w:tcPr>
            <w:tcW w:w="3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11271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8958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9DD2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原因：正在进行财政审批手续，改进措施：下一年度按进度及时支付。</w:t>
            </w:r>
          </w:p>
        </w:tc>
      </w:tr>
      <w:tr w14:paraId="7C46D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452B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10C8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4BFC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36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91913">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保障自然资源工作正常开展</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398F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w:t>
            </w:r>
          </w:p>
        </w:tc>
        <w:tc>
          <w:tcPr>
            <w:tcW w:w="15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72A8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ED90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0647A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6C72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6F8B4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D834E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9D96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0F6B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236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2246AA">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工作人员满意度（%）</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1F15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15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C043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3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7577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2018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3125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06896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 w:hRule="atLeast"/>
        </w:trPr>
        <w:tc>
          <w:tcPr>
            <w:tcW w:w="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E09E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C8839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05A3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79"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57B62F4">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1192"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1613B152">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99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956B3C5">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E7D3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5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8F17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1"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EFB63A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4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E23506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8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282D342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0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1C6CB3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0E297A">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9E1E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52CB4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698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8569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3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3C3A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64B6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89.41分</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D040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3E209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180" w:type="dxa"/>
            <w:gridSpan w:val="2"/>
            <w:tcBorders>
              <w:top w:val="single" w:color="000000" w:sz="4" w:space="0"/>
              <w:left w:val="nil"/>
              <w:bottom w:val="nil"/>
              <w:right w:val="nil"/>
            </w:tcBorders>
            <w:shd w:val="clear" w:color="auto" w:fill="auto"/>
            <w:tcMar>
              <w:top w:w="15" w:type="dxa"/>
              <w:left w:w="15" w:type="dxa"/>
              <w:right w:w="15" w:type="dxa"/>
            </w:tcMar>
            <w:vAlign w:val="center"/>
          </w:tcPr>
          <w:p w14:paraId="543EA5F5">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经办人：</w:t>
            </w:r>
          </w:p>
        </w:tc>
        <w:tc>
          <w:tcPr>
            <w:tcW w:w="2359" w:type="dxa"/>
            <w:gridSpan w:val="3"/>
            <w:tcBorders>
              <w:top w:val="single" w:color="000000" w:sz="4" w:space="0"/>
              <w:left w:val="nil"/>
              <w:bottom w:val="nil"/>
              <w:right w:val="nil"/>
            </w:tcBorders>
            <w:shd w:val="clear" w:color="auto" w:fill="auto"/>
            <w:tcMar>
              <w:top w:w="15" w:type="dxa"/>
              <w:left w:w="15" w:type="dxa"/>
              <w:right w:w="15" w:type="dxa"/>
            </w:tcMar>
            <w:vAlign w:val="center"/>
          </w:tcPr>
          <w:p w14:paraId="243979B6">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艾先生</w:t>
            </w:r>
          </w:p>
        </w:tc>
        <w:tc>
          <w:tcPr>
            <w:tcW w:w="3577" w:type="dxa"/>
            <w:gridSpan w:val="4"/>
            <w:tcBorders>
              <w:top w:val="single" w:color="000000" w:sz="4" w:space="0"/>
              <w:left w:val="nil"/>
              <w:bottom w:val="nil"/>
              <w:right w:val="nil"/>
            </w:tcBorders>
            <w:shd w:val="clear" w:color="auto" w:fill="auto"/>
            <w:tcMar>
              <w:top w:w="15" w:type="dxa"/>
              <w:left w:w="15" w:type="dxa"/>
              <w:right w:w="15" w:type="dxa"/>
            </w:tcMar>
            <w:vAlign w:val="center"/>
          </w:tcPr>
          <w:p w14:paraId="68D6DC0D">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2092" w:type="dxa"/>
            <w:gridSpan w:val="5"/>
            <w:tcBorders>
              <w:top w:val="single" w:color="000000" w:sz="4" w:space="0"/>
              <w:left w:val="nil"/>
              <w:bottom w:val="nil"/>
              <w:right w:val="nil"/>
            </w:tcBorders>
            <w:shd w:val="clear" w:color="auto" w:fill="auto"/>
            <w:tcMar>
              <w:top w:w="15" w:type="dxa"/>
              <w:left w:w="15" w:type="dxa"/>
              <w:right w:w="15" w:type="dxa"/>
            </w:tcMar>
            <w:vAlign w:val="center"/>
          </w:tcPr>
          <w:p w14:paraId="7B400B8C">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r>
      <w:tr w14:paraId="62F44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180" w:type="dxa"/>
            <w:gridSpan w:val="2"/>
            <w:tcBorders>
              <w:top w:val="nil"/>
              <w:left w:val="nil"/>
              <w:bottom w:val="nil"/>
              <w:right w:val="nil"/>
            </w:tcBorders>
            <w:shd w:val="clear" w:color="auto" w:fill="auto"/>
            <w:noWrap/>
            <w:tcMar>
              <w:top w:w="15" w:type="dxa"/>
              <w:left w:w="15" w:type="dxa"/>
              <w:right w:w="15" w:type="dxa"/>
            </w:tcMar>
            <w:vAlign w:val="center"/>
          </w:tcPr>
          <w:p w14:paraId="3F8655AD">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联系人：</w:t>
            </w:r>
          </w:p>
        </w:tc>
        <w:tc>
          <w:tcPr>
            <w:tcW w:w="2359" w:type="dxa"/>
            <w:gridSpan w:val="3"/>
            <w:tcBorders>
              <w:top w:val="nil"/>
              <w:left w:val="nil"/>
              <w:bottom w:val="nil"/>
              <w:right w:val="nil"/>
            </w:tcBorders>
            <w:shd w:val="clear" w:color="auto" w:fill="auto"/>
            <w:noWrap/>
            <w:tcMar>
              <w:top w:w="15" w:type="dxa"/>
              <w:left w:w="15" w:type="dxa"/>
              <w:right w:w="15" w:type="dxa"/>
            </w:tcMar>
            <w:vAlign w:val="center"/>
          </w:tcPr>
          <w:p w14:paraId="4BD6EF50">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热先生</w:t>
            </w:r>
          </w:p>
        </w:tc>
        <w:tc>
          <w:tcPr>
            <w:tcW w:w="3577" w:type="dxa"/>
            <w:gridSpan w:val="4"/>
            <w:tcBorders>
              <w:top w:val="nil"/>
              <w:left w:val="nil"/>
              <w:bottom w:val="nil"/>
              <w:right w:val="nil"/>
            </w:tcBorders>
            <w:shd w:val="clear" w:color="auto" w:fill="auto"/>
            <w:noWrap/>
            <w:tcMar>
              <w:top w:w="15" w:type="dxa"/>
              <w:left w:w="15" w:type="dxa"/>
              <w:right w:w="15" w:type="dxa"/>
            </w:tcMar>
            <w:vAlign w:val="center"/>
          </w:tcPr>
          <w:p w14:paraId="57ADB50F">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2092" w:type="dxa"/>
            <w:gridSpan w:val="5"/>
            <w:tcBorders>
              <w:top w:val="nil"/>
              <w:left w:val="nil"/>
              <w:bottom w:val="nil"/>
              <w:right w:val="nil"/>
            </w:tcBorders>
            <w:shd w:val="clear" w:color="auto" w:fill="auto"/>
            <w:noWrap/>
            <w:tcMar>
              <w:top w:w="15" w:type="dxa"/>
              <w:left w:w="15" w:type="dxa"/>
              <w:right w:w="15" w:type="dxa"/>
            </w:tcMar>
            <w:vAlign w:val="center"/>
          </w:tcPr>
          <w:p w14:paraId="0AAC3EAD">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3782553</w:t>
            </w:r>
          </w:p>
        </w:tc>
      </w:tr>
    </w:tbl>
    <w:p w14:paraId="572928D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outlineLvl w:val="1"/>
        <w:rPr>
          <w:rFonts w:ascii="黑体" w:eastAsia="黑体"/>
          <w:b w:val="0"/>
          <w:sz w:val="32"/>
          <w:szCs w:val="32"/>
        </w:rPr>
      </w:pPr>
    </w:p>
    <w:p w14:paraId="732581BA">
      <w:pPr>
        <w:pStyle w:val="2"/>
        <w:keepNext w:val="0"/>
        <w:keepLines w:val="0"/>
        <w:pageBreakBefore w:val="0"/>
        <w:kinsoku/>
        <w:wordWrap/>
        <w:overflowPunct/>
        <w:topLinePunct w:val="0"/>
        <w:autoSpaceDE/>
        <w:autoSpaceDN/>
        <w:bidi w:val="0"/>
        <w:adjustRightInd/>
        <w:spacing w:line="560" w:lineRule="exact"/>
        <w:rPr>
          <w:rFonts w:ascii="黑体" w:eastAsia="黑体"/>
          <w:b w:val="0"/>
          <w:sz w:val="32"/>
          <w:szCs w:val="32"/>
        </w:rPr>
      </w:pPr>
    </w:p>
    <w:tbl>
      <w:tblPr>
        <w:tblStyle w:val="5"/>
        <w:tblW w:w="920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61"/>
        <w:gridCol w:w="670"/>
        <w:gridCol w:w="1104"/>
        <w:gridCol w:w="148"/>
        <w:gridCol w:w="1057"/>
        <w:gridCol w:w="964"/>
        <w:gridCol w:w="870"/>
        <w:gridCol w:w="1268"/>
        <w:gridCol w:w="134"/>
        <w:gridCol w:w="242"/>
        <w:gridCol w:w="208"/>
        <w:gridCol w:w="496"/>
        <w:gridCol w:w="407"/>
        <w:gridCol w:w="1079"/>
      </w:tblGrid>
      <w:tr w14:paraId="08FFD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9208" w:type="dxa"/>
            <w:gridSpan w:val="14"/>
            <w:tcBorders>
              <w:top w:val="nil"/>
              <w:left w:val="nil"/>
              <w:bottom w:val="nil"/>
              <w:right w:val="nil"/>
            </w:tcBorders>
            <w:shd w:val="clear" w:color="auto" w:fill="auto"/>
            <w:tcMar>
              <w:top w:w="15" w:type="dxa"/>
              <w:left w:w="15" w:type="dxa"/>
              <w:right w:w="15" w:type="dxa"/>
            </w:tcMar>
            <w:vAlign w:val="center"/>
          </w:tcPr>
          <w:p w14:paraId="1E1631C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28A2D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9208" w:type="dxa"/>
            <w:gridSpan w:val="14"/>
            <w:tcBorders>
              <w:top w:val="nil"/>
              <w:left w:val="nil"/>
              <w:bottom w:val="nil"/>
              <w:right w:val="nil"/>
            </w:tcBorders>
            <w:shd w:val="clear" w:color="auto" w:fill="auto"/>
            <w:tcMar>
              <w:top w:w="15" w:type="dxa"/>
              <w:left w:w="15" w:type="dxa"/>
              <w:right w:w="15" w:type="dxa"/>
            </w:tcMar>
            <w:vAlign w:val="center"/>
          </w:tcPr>
          <w:p w14:paraId="5C8A0CA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(2024年度)</w:t>
            </w:r>
          </w:p>
        </w:tc>
      </w:tr>
      <w:tr w14:paraId="32AB5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F44C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977"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816F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追加本级信息化专项（党政办视频会议系统）</w:t>
            </w:r>
          </w:p>
        </w:tc>
      </w:tr>
      <w:tr w14:paraId="70CA7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4855C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327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0EA0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区委、管委会（区政府）办公室</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003D7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383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E0A1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乌鲁木齐经济技术开发区管理委员会（乌鲁木齐市头屯河区人民政府）办公室</w:t>
            </w:r>
          </w:p>
        </w:tc>
      </w:tr>
      <w:tr w14:paraId="51663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2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A329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12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2DF0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A34A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F59A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7E602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40772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9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C590D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11A71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14:paraId="26DB6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2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B079CD">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D97C2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B282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20.96</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CD37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20.96</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C87D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20.96</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AA47E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2188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C23E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10.00分</w:t>
            </w:r>
          </w:p>
        </w:tc>
      </w:tr>
      <w:tr w14:paraId="0F4D9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2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4BE8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004D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CBB2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20.96</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BA1F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20.96</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C3704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20.96</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8329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9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66E50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52991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6620A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2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37EB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9F12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C576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63CD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9976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55F0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9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E0A9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E9AC0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71900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05D6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481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7288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383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7DEF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14:paraId="1BB83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30" w:hRule="atLeast"/>
        </w:trPr>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C23B7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81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3E40FE46">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围绕办公室工作，立足本职、服务大局，项目资金20.9608万元，用于支付党政办视频会议系统项目欠款，有利于建设障我区覆盖全面、方便快捷、安全高效的会议协同系统。保障全区党政视频会议工作正常开展。</w:t>
            </w:r>
          </w:p>
        </w:tc>
        <w:tc>
          <w:tcPr>
            <w:tcW w:w="383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B86DE19">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截至2024年12月31日，共支付项目资金20.9608万元，用于党政办视频会议系统项目欠款，保障了我区覆盖全面、方便快捷、安全高效的会议协同系统。做好了党务、政务方向的综合协调，提升工作人员满意度。</w:t>
            </w:r>
          </w:p>
        </w:tc>
      </w:tr>
      <w:tr w14:paraId="0EAF7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00D1C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7F1BC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110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C264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16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6A5E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C4FC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12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8158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3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B3A0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7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3D6D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4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EF51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14:paraId="46693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CD12F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07B2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AD4A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1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3F6D5B">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6AE7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B777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3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AAEC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7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D455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4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8C28D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27FAF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8BB9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EAB2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10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2437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ADF42">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视频会议系统数</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8792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=1个</w:t>
            </w:r>
          </w:p>
        </w:tc>
        <w:tc>
          <w:tcPr>
            <w:tcW w:w="12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B9C2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=1个</w:t>
            </w:r>
          </w:p>
        </w:tc>
        <w:tc>
          <w:tcPr>
            <w:tcW w:w="3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FE9C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96A30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8EC3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30595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1C58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F0F7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9AC4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6B9F3E">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视频会议会场连通数</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A540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=4个</w:t>
            </w:r>
          </w:p>
        </w:tc>
        <w:tc>
          <w:tcPr>
            <w:tcW w:w="12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AC93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=4个</w:t>
            </w:r>
          </w:p>
        </w:tc>
        <w:tc>
          <w:tcPr>
            <w:tcW w:w="3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6C66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8189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8F677">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264F0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D0EC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F666E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5F07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B0544E">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视频会议系统连通率</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C471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2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27DE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0C779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E5BC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E5C7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11DFC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C2F0C">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53134E">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1145E7">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FBC59C">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资金支付及时率</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65E9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2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AA9B0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CFD67D">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D7B6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F2C1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5969A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4C2C2">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BFEBF8">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1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C295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315A84">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项目预算执行率</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B58A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&lt;=100%</w:t>
            </w:r>
          </w:p>
        </w:tc>
        <w:tc>
          <w:tcPr>
            <w:tcW w:w="12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2540A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3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10E1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9911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D135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6A39A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AED42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B58CB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11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92F2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EA50D5">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达到各分会场连通效果</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CE27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w:t>
            </w:r>
          </w:p>
        </w:tc>
        <w:tc>
          <w:tcPr>
            <w:tcW w:w="12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2FF6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w:t>
            </w:r>
          </w:p>
        </w:tc>
        <w:tc>
          <w:tcPr>
            <w:tcW w:w="3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7021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92C765">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A5533">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2DD3D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7C869">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62249">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1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D956BB">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67E951">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工作人员满意度</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81FB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12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9A70C">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3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3128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B2A4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1071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17491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6AE78">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A1B9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299F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4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4C91BC50">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1057"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3B2FACE9">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964"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22BBED6">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F1159F">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D7B81">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3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4B2AA14">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4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0E0A5F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2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1E3016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96"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12242A6">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4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B7966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D7875">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2F03F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6642"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D8372">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3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47B243">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4587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100.00分</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88850">
            <w:pPr>
              <w:keepNext w:val="0"/>
              <w:keepLines w:val="0"/>
              <w:pageBreakBefore w:val="0"/>
              <w:kinsoku/>
              <w:wordWrap/>
              <w:overflowPunct/>
              <w:topLinePunct w:val="0"/>
              <w:autoSpaceDE/>
              <w:autoSpaceDN/>
              <w:bidi w:val="0"/>
              <w:adjustRightInd/>
              <w:spacing w:line="560" w:lineRule="exact"/>
              <w:jc w:val="center"/>
              <w:rPr>
                <w:rFonts w:hint="eastAsia" w:ascii="宋体" w:hAnsi="宋体" w:eastAsia="宋体" w:cs="宋体"/>
                <w:i w:val="0"/>
                <w:color w:val="000000"/>
                <w:sz w:val="20"/>
                <w:szCs w:val="20"/>
                <w:u w:val="none"/>
              </w:rPr>
            </w:pPr>
          </w:p>
        </w:tc>
      </w:tr>
      <w:tr w14:paraId="0FDD8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231" w:type="dxa"/>
            <w:gridSpan w:val="2"/>
            <w:tcBorders>
              <w:top w:val="single" w:color="000000" w:sz="4" w:space="0"/>
              <w:left w:val="nil"/>
              <w:bottom w:val="nil"/>
              <w:right w:val="nil"/>
            </w:tcBorders>
            <w:shd w:val="clear" w:color="auto" w:fill="auto"/>
            <w:tcMar>
              <w:top w:w="15" w:type="dxa"/>
              <w:left w:w="15" w:type="dxa"/>
              <w:right w:w="15" w:type="dxa"/>
            </w:tcMar>
            <w:vAlign w:val="center"/>
          </w:tcPr>
          <w:p w14:paraId="3920CC64">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经办人：</w:t>
            </w:r>
          </w:p>
        </w:tc>
        <w:tc>
          <w:tcPr>
            <w:tcW w:w="2309" w:type="dxa"/>
            <w:gridSpan w:val="3"/>
            <w:tcBorders>
              <w:top w:val="single" w:color="000000" w:sz="4" w:space="0"/>
              <w:left w:val="nil"/>
              <w:bottom w:val="nil"/>
              <w:right w:val="nil"/>
            </w:tcBorders>
            <w:shd w:val="clear" w:color="auto" w:fill="auto"/>
            <w:tcMar>
              <w:top w:w="15" w:type="dxa"/>
              <w:left w:w="15" w:type="dxa"/>
              <w:right w:w="15" w:type="dxa"/>
            </w:tcMar>
            <w:vAlign w:val="center"/>
          </w:tcPr>
          <w:p w14:paraId="24258263">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李先生</w:t>
            </w:r>
          </w:p>
        </w:tc>
        <w:tc>
          <w:tcPr>
            <w:tcW w:w="3236" w:type="dxa"/>
            <w:gridSpan w:val="4"/>
            <w:tcBorders>
              <w:top w:val="single" w:color="000000" w:sz="4" w:space="0"/>
              <w:left w:val="nil"/>
              <w:bottom w:val="nil"/>
              <w:right w:val="nil"/>
            </w:tcBorders>
            <w:shd w:val="clear" w:color="auto" w:fill="auto"/>
            <w:tcMar>
              <w:top w:w="15" w:type="dxa"/>
              <w:left w:w="15" w:type="dxa"/>
              <w:right w:w="15" w:type="dxa"/>
            </w:tcMar>
            <w:vAlign w:val="center"/>
          </w:tcPr>
          <w:p w14:paraId="072C85DB">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2432" w:type="dxa"/>
            <w:gridSpan w:val="5"/>
            <w:tcBorders>
              <w:top w:val="single" w:color="000000" w:sz="4" w:space="0"/>
              <w:left w:val="nil"/>
              <w:bottom w:val="nil"/>
              <w:right w:val="nil"/>
            </w:tcBorders>
            <w:shd w:val="clear" w:color="auto" w:fill="auto"/>
            <w:tcMar>
              <w:top w:w="15" w:type="dxa"/>
              <w:left w:w="15" w:type="dxa"/>
              <w:right w:w="15" w:type="dxa"/>
            </w:tcMar>
            <w:vAlign w:val="center"/>
          </w:tcPr>
          <w:p w14:paraId="3519C68F">
            <w:pPr>
              <w:keepNext w:val="0"/>
              <w:keepLines w:val="0"/>
              <w:pageBreakBefore w:val="0"/>
              <w:kinsoku/>
              <w:wordWrap/>
              <w:overflowPunct/>
              <w:topLinePunct w:val="0"/>
              <w:autoSpaceDE/>
              <w:autoSpaceDN/>
              <w:bidi w:val="0"/>
              <w:adjustRightInd/>
              <w:spacing w:line="560" w:lineRule="exact"/>
              <w:jc w:val="left"/>
              <w:rPr>
                <w:rFonts w:hint="eastAsia" w:ascii="宋体" w:hAnsi="宋体" w:eastAsia="宋体" w:cs="宋体"/>
                <w:i w:val="0"/>
                <w:color w:val="000000"/>
                <w:sz w:val="20"/>
                <w:szCs w:val="20"/>
                <w:u w:val="none"/>
              </w:rPr>
            </w:pPr>
          </w:p>
        </w:tc>
      </w:tr>
      <w:tr w14:paraId="3638D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231" w:type="dxa"/>
            <w:gridSpan w:val="2"/>
            <w:tcBorders>
              <w:top w:val="nil"/>
              <w:left w:val="nil"/>
              <w:bottom w:val="nil"/>
              <w:right w:val="nil"/>
            </w:tcBorders>
            <w:shd w:val="clear" w:color="auto" w:fill="auto"/>
            <w:noWrap/>
            <w:tcMar>
              <w:top w:w="15" w:type="dxa"/>
              <w:left w:w="15" w:type="dxa"/>
              <w:right w:w="15" w:type="dxa"/>
            </w:tcMar>
            <w:vAlign w:val="center"/>
          </w:tcPr>
          <w:p w14:paraId="5DB13DA2">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联系人：</w:t>
            </w:r>
          </w:p>
        </w:tc>
        <w:tc>
          <w:tcPr>
            <w:tcW w:w="2309" w:type="dxa"/>
            <w:gridSpan w:val="3"/>
            <w:tcBorders>
              <w:top w:val="nil"/>
              <w:left w:val="nil"/>
              <w:bottom w:val="nil"/>
              <w:right w:val="nil"/>
            </w:tcBorders>
            <w:shd w:val="clear" w:color="auto" w:fill="auto"/>
            <w:noWrap/>
            <w:tcMar>
              <w:top w:w="15" w:type="dxa"/>
              <w:left w:w="15" w:type="dxa"/>
              <w:right w:w="15" w:type="dxa"/>
            </w:tcMar>
            <w:vAlign w:val="center"/>
          </w:tcPr>
          <w:p w14:paraId="34A38699">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吉先生</w:t>
            </w:r>
          </w:p>
        </w:tc>
        <w:tc>
          <w:tcPr>
            <w:tcW w:w="3236" w:type="dxa"/>
            <w:gridSpan w:val="4"/>
            <w:tcBorders>
              <w:top w:val="nil"/>
              <w:left w:val="nil"/>
              <w:bottom w:val="nil"/>
              <w:right w:val="nil"/>
            </w:tcBorders>
            <w:shd w:val="clear" w:color="auto" w:fill="auto"/>
            <w:noWrap/>
            <w:tcMar>
              <w:top w:w="15" w:type="dxa"/>
              <w:left w:w="15" w:type="dxa"/>
              <w:right w:w="15" w:type="dxa"/>
            </w:tcMar>
            <w:vAlign w:val="center"/>
          </w:tcPr>
          <w:p w14:paraId="71939802">
            <w:pPr>
              <w:keepNext w:val="0"/>
              <w:keepLines w:val="0"/>
              <w:pageBreakBefore w:val="0"/>
              <w:widowControl/>
              <w:suppressLineNumbers w:val="0"/>
              <w:kinsoku/>
              <w:wordWrap/>
              <w:overflowPunct/>
              <w:topLinePunct w:val="0"/>
              <w:autoSpaceDE/>
              <w:autoSpaceDN/>
              <w:bidi w:val="0"/>
              <w:adjustRightInd/>
              <w:spacing w:line="560" w:lineRule="exact"/>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2432" w:type="dxa"/>
            <w:gridSpan w:val="5"/>
            <w:tcBorders>
              <w:top w:val="nil"/>
              <w:left w:val="nil"/>
              <w:bottom w:val="nil"/>
              <w:right w:val="nil"/>
            </w:tcBorders>
            <w:shd w:val="clear" w:color="auto" w:fill="auto"/>
            <w:noWrap/>
            <w:tcMar>
              <w:top w:w="15" w:type="dxa"/>
              <w:left w:w="15" w:type="dxa"/>
              <w:right w:w="15" w:type="dxa"/>
            </w:tcMar>
            <w:vAlign w:val="center"/>
          </w:tcPr>
          <w:p w14:paraId="605B98A4">
            <w:pPr>
              <w:keepNext w:val="0"/>
              <w:keepLines w:val="0"/>
              <w:pageBreakBefore w:val="0"/>
              <w:widowControl/>
              <w:suppressLineNumbers w:val="0"/>
              <w:kinsoku/>
              <w:wordWrap/>
              <w:overflowPunct/>
              <w:topLinePunct w:val="0"/>
              <w:autoSpaceDE/>
              <w:autoSpaceDN/>
              <w:bidi w:val="0"/>
              <w:adjustRightInd/>
              <w:spacing w:line="56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3782709</w:t>
            </w:r>
          </w:p>
        </w:tc>
      </w:tr>
    </w:tbl>
    <w:p w14:paraId="61FDB3A0">
      <w:pPr>
        <w:pStyle w:val="2"/>
        <w:keepNext w:val="0"/>
        <w:keepLines w:val="0"/>
        <w:pageBreakBefore w:val="0"/>
        <w:kinsoku/>
        <w:wordWrap/>
        <w:overflowPunct/>
        <w:topLinePunct w:val="0"/>
        <w:autoSpaceDE/>
        <w:autoSpaceDN/>
        <w:bidi w:val="0"/>
        <w:adjustRightInd/>
        <w:spacing w:line="560" w:lineRule="exact"/>
        <w:rPr>
          <w:rFonts w:ascii="黑体" w:eastAsia="黑体"/>
          <w:b w:val="0"/>
          <w:sz w:val="32"/>
          <w:szCs w:val="32"/>
        </w:rPr>
      </w:pPr>
    </w:p>
    <w:p w14:paraId="29A60D6E">
      <w:pPr>
        <w:pStyle w:val="2"/>
        <w:keepNext w:val="0"/>
        <w:keepLines w:val="0"/>
        <w:pageBreakBefore w:val="0"/>
        <w:kinsoku/>
        <w:wordWrap/>
        <w:overflowPunct/>
        <w:topLinePunct w:val="0"/>
        <w:autoSpaceDE/>
        <w:autoSpaceDN/>
        <w:bidi w:val="0"/>
        <w:adjustRightInd/>
        <w:spacing w:line="560" w:lineRule="exact"/>
        <w:rPr>
          <w:rFonts w:ascii="黑体" w:eastAsia="黑体"/>
          <w:b w:val="0"/>
          <w:sz w:val="32"/>
          <w:szCs w:val="32"/>
        </w:rPr>
      </w:pPr>
    </w:p>
    <w:p w14:paraId="5D4ADED0">
      <w:pPr>
        <w:pStyle w:val="2"/>
        <w:keepNext w:val="0"/>
        <w:keepLines w:val="0"/>
        <w:pageBreakBefore w:val="0"/>
        <w:kinsoku/>
        <w:wordWrap/>
        <w:overflowPunct/>
        <w:topLinePunct w:val="0"/>
        <w:autoSpaceDE/>
        <w:autoSpaceDN/>
        <w:bidi w:val="0"/>
        <w:adjustRightInd/>
        <w:spacing w:line="560" w:lineRule="exact"/>
      </w:pPr>
    </w:p>
    <w:p w14:paraId="33C95C79">
      <w:pPr>
        <w:keepNext w:val="0"/>
        <w:keepLines w:val="0"/>
        <w:pageBreakBefore w:val="0"/>
        <w:widowControl/>
        <w:numPr>
          <w:ilvl w:val="0"/>
          <w:numId w:val="1"/>
        </w:numPr>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b w:val="0"/>
          <w:sz w:val="32"/>
          <w:szCs w:val="32"/>
        </w:rPr>
      </w:pPr>
      <w:r>
        <w:rPr>
          <w:rFonts w:ascii="黑体" w:eastAsia="黑体"/>
          <w:b w:val="0"/>
          <w:sz w:val="32"/>
          <w:szCs w:val="32"/>
        </w:rPr>
        <w:t>其他需说明的事项</w:t>
      </w:r>
    </w:p>
    <w:p w14:paraId="300052EB">
      <w:pPr>
        <w:pStyle w:val="2"/>
        <w:numPr>
          <w:ilvl w:val="0"/>
          <w:numId w:val="0"/>
        </w:numPr>
        <w:rPr>
          <w:rFonts w:hint="default" w:ascii="仿宋_GB2312" w:hAnsi="Times New Roman" w:eastAsia="仿宋_GB2312" w:cs="Times New Roman"/>
          <w:b w:val="0"/>
          <w:sz w:val="32"/>
          <w:szCs w:val="32"/>
          <w:lang w:val="en-US" w:eastAsia="zh-CN"/>
        </w:rPr>
      </w:pPr>
      <w:r>
        <w:rPr>
          <w:rFonts w:hint="eastAsia" w:ascii="仿宋_GB2312" w:hAnsi="Times New Roman" w:eastAsia="仿宋_GB2312" w:cs="Times New Roman"/>
          <w:b w:val="0"/>
          <w:sz w:val="32"/>
          <w:szCs w:val="32"/>
          <w:lang w:val="en-US" w:eastAsia="zh-CN"/>
        </w:rPr>
        <w:t xml:space="preserve"> 无</w:t>
      </w:r>
    </w:p>
    <w:p w14:paraId="6F0C30C1">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lang w:val="en-US"/>
        </w:rPr>
      </w:pPr>
      <w:r>
        <w:rPr>
          <w:rFonts w:hint="eastAsia"/>
          <w:b w:val="0"/>
          <w:sz w:val="0"/>
          <w:szCs w:val="0"/>
          <w:lang w:val="en-US" w:eastAsia="zh-CN"/>
        </w:rPr>
        <w:t>Wu无</w:t>
      </w:r>
    </w:p>
    <w:p w14:paraId="1EE41BD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32"/>
          <w:szCs w:val="32"/>
        </w:rPr>
      </w:pPr>
      <w:r>
        <w:rPr>
          <w:rFonts w:ascii="黑体" w:eastAsia="黑体"/>
          <w:b w:val="0"/>
          <w:sz w:val="32"/>
          <w:szCs w:val="32"/>
        </w:rPr>
        <w:t>第三部分 专业名词解释</w:t>
      </w:r>
    </w:p>
    <w:p w14:paraId="2DAB5EE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一、财政拨款收入：</w:t>
      </w:r>
      <w:r>
        <w:rPr>
          <w:rFonts w:ascii="仿宋_GB2312" w:eastAsia="仿宋_GB2312"/>
          <w:b w:val="0"/>
          <w:sz w:val="32"/>
          <w:szCs w:val="32"/>
        </w:rPr>
        <w:t>指同级财政当年拨付的资金。</w:t>
      </w:r>
    </w:p>
    <w:p w14:paraId="2ADD98E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二、上级补助收入：</w:t>
      </w:r>
      <w:r>
        <w:rPr>
          <w:rFonts w:ascii="仿宋_GB2312" w:eastAsia="仿宋_GB2312"/>
          <w:b w:val="0"/>
          <w:sz w:val="32"/>
          <w:szCs w:val="32"/>
        </w:rPr>
        <w:t>指事业单位从主管部门和上级单位取得的非财政补助收入。</w:t>
      </w:r>
    </w:p>
    <w:p w14:paraId="2B86E03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三、事业收入：</w:t>
      </w:r>
      <w:r>
        <w:rPr>
          <w:rFonts w:ascii="仿宋_GB2312" w:eastAsia="仿宋_GB2312"/>
          <w:b w:val="0"/>
          <w:sz w:val="32"/>
          <w:szCs w:val="32"/>
        </w:rPr>
        <w:t>指事业单位开展专业业务活动及其辅助活动所取得的收入。</w:t>
      </w:r>
    </w:p>
    <w:p w14:paraId="05D182A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四、经营收入：</w:t>
      </w:r>
      <w:r>
        <w:rPr>
          <w:rFonts w:ascii="仿宋_GB2312" w:eastAsia="仿宋_GB2312"/>
          <w:b w:val="0"/>
          <w:sz w:val="32"/>
          <w:szCs w:val="32"/>
        </w:rPr>
        <w:t>指事业单位在专业业务活动及其辅助活动之外开展非独立核算经营活动取得的收入。</w:t>
      </w:r>
    </w:p>
    <w:p w14:paraId="5DF7150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五、附属单位上缴收入：</w:t>
      </w:r>
      <w:r>
        <w:rPr>
          <w:rFonts w:ascii="仿宋_GB2312" w:eastAsia="仿宋_GB2312"/>
          <w:b w:val="0"/>
          <w:sz w:val="32"/>
          <w:szCs w:val="32"/>
        </w:rPr>
        <w:t>指事业单位附属的独立核算单位按有关规定上缴的收入。</w:t>
      </w:r>
    </w:p>
    <w:p w14:paraId="676B96D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六、其他收入：</w:t>
      </w:r>
      <w:r>
        <w:rPr>
          <w:rFonts w:ascii="仿宋_GB2312" w:eastAsia="仿宋_GB2312"/>
          <w:b w:val="0"/>
          <w:sz w:val="32"/>
          <w:szCs w:val="32"/>
        </w:rPr>
        <w:t>指除上述“财政拨款收入”、“事业收入”、“经营收入”、“附属单位上缴收入”等之外取得的收入。</w:t>
      </w:r>
    </w:p>
    <w:p w14:paraId="730A5D4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七、年初结转和结余：</w:t>
      </w:r>
      <w:r>
        <w:rPr>
          <w:rFonts w:ascii="仿宋_GB2312" w:eastAsia="仿宋_GB2312"/>
          <w:b w:val="0"/>
          <w:sz w:val="32"/>
          <w:szCs w:val="32"/>
        </w:rPr>
        <w:t>指以前年度支出预算因客观条件变化未执行完毕、结转到本年度按有关规定继续使用的资金，既包括财政拨款结转和结余，也包括事业收入、经营收入、其他收入的结转和结余。</w:t>
      </w:r>
    </w:p>
    <w:p w14:paraId="5245928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八、年末结转和结余：</w:t>
      </w:r>
      <w:r>
        <w:rPr>
          <w:rFonts w:ascii="仿宋_GB2312" w:eastAsia="仿宋_GB2312"/>
          <w:b w:val="0"/>
          <w:sz w:val="32"/>
          <w:szCs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66244A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九、基本支出：</w:t>
      </w:r>
      <w:r>
        <w:rPr>
          <w:rFonts w:ascii="仿宋_GB2312" w:eastAsia="仿宋_GB2312"/>
          <w:b w:val="0"/>
          <w:sz w:val="32"/>
          <w:szCs w:val="32"/>
        </w:rPr>
        <w:t>指为保障机构正常运转、完成日常工作任务而发生的人员支出和公用支出。</w:t>
      </w:r>
    </w:p>
    <w:p w14:paraId="4C78EE9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十、项目支出：</w:t>
      </w:r>
      <w:r>
        <w:rPr>
          <w:rFonts w:ascii="仿宋_GB2312" w:eastAsia="仿宋_GB2312"/>
          <w:b w:val="0"/>
          <w:sz w:val="32"/>
          <w:szCs w:val="32"/>
        </w:rPr>
        <w:t>指在基本支出之外为完成特定行政任务和事业发展目标所发生的支出。</w:t>
      </w:r>
    </w:p>
    <w:p w14:paraId="7973E54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十一、经营支出：</w:t>
      </w:r>
      <w:r>
        <w:rPr>
          <w:rFonts w:ascii="仿宋_GB2312" w:eastAsia="仿宋_GB2312"/>
          <w:b w:val="0"/>
          <w:sz w:val="32"/>
          <w:szCs w:val="32"/>
        </w:rPr>
        <w:t>指事业单位在专业业务活动及其辅助活动之外开展非独立核算经营活动发生的支出。</w:t>
      </w:r>
    </w:p>
    <w:p w14:paraId="485490E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十二、对附属单位补助支出：</w:t>
      </w:r>
      <w:r>
        <w:rPr>
          <w:rFonts w:ascii="仿宋_GB2312" w:eastAsia="仿宋_GB2312"/>
          <w:b w:val="0"/>
          <w:sz w:val="32"/>
          <w:szCs w:val="32"/>
        </w:rPr>
        <w:t>指事业单位发生的用非财政预算资金对附属单位的补助支出。</w:t>
      </w:r>
    </w:p>
    <w:p w14:paraId="68FB5A9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十三、“三公”经费：</w:t>
      </w:r>
      <w:r>
        <w:rPr>
          <w:rFonts w:ascii="仿宋_GB2312" w:eastAsia="仿宋_GB2312"/>
          <w:b w:val="0"/>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227974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十四、机关运行经费：</w:t>
      </w:r>
      <w:r>
        <w:rPr>
          <w:rFonts w:ascii="仿宋_GB2312" w:eastAsia="仿宋_GB2312"/>
          <w:b w:val="0"/>
          <w:sz w:val="32"/>
          <w:szCs w:val="32"/>
        </w:rPr>
        <w:t>行政单位和参照公务员法管理的事业单位财政拨款基本支出中的公用经费支出。</w:t>
      </w:r>
    </w:p>
    <w:p w14:paraId="15AAE594">
      <w:pPr>
        <w:keepNext w:val="0"/>
        <w:keepLines w:val="0"/>
        <w:pageBreakBefore w:val="0"/>
        <w:widowControl/>
        <w:kinsoku/>
        <w:wordWrap/>
        <w:overflowPunct/>
        <w:topLinePunct w:val="0"/>
        <w:autoSpaceDE/>
        <w:autoSpaceDN/>
        <w:bidi w:val="0"/>
        <w:adjustRightInd/>
        <w:snapToGrid/>
        <w:spacing w:line="560" w:lineRule="exact"/>
        <w:textAlignment w:val="auto"/>
      </w:pPr>
      <w:r>
        <w:rPr>
          <w:b w:val="0"/>
          <w:sz w:val="0"/>
          <w:szCs w:val="0"/>
        </w:rPr>
        <w:br w:type="page"/>
      </w:r>
    </w:p>
    <w:p w14:paraId="0ECF5C4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32"/>
          <w:szCs w:val="32"/>
        </w:rPr>
      </w:pPr>
      <w:r>
        <w:rPr>
          <w:rFonts w:ascii="黑体" w:eastAsia="黑体"/>
          <w:b w:val="0"/>
          <w:sz w:val="32"/>
          <w:szCs w:val="32"/>
        </w:rPr>
        <w:t xml:space="preserve">第四部分 </w:t>
      </w:r>
      <w:r>
        <w:rPr>
          <w:rFonts w:hint="eastAsia" w:ascii="黑体" w:eastAsia="黑体"/>
          <w:b w:val="0"/>
          <w:sz w:val="32"/>
          <w:szCs w:val="32"/>
          <w:lang w:val="en-US" w:eastAsia="zh-CN"/>
        </w:rPr>
        <w:t>单位</w:t>
      </w:r>
      <w:r>
        <w:rPr>
          <w:rFonts w:ascii="黑体" w:eastAsia="黑体"/>
          <w:b w:val="0"/>
          <w:sz w:val="32"/>
          <w:szCs w:val="32"/>
        </w:rPr>
        <w:t>决算报表（见附表）</w:t>
      </w:r>
    </w:p>
    <w:p w14:paraId="1EA063A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一、《收入支出决算总表》</w:t>
      </w:r>
    </w:p>
    <w:p w14:paraId="2CA2842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二、《收入决算表》</w:t>
      </w:r>
    </w:p>
    <w:p w14:paraId="6A8AFD1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三、《支出决算表》</w:t>
      </w:r>
    </w:p>
    <w:p w14:paraId="1AB0941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四、《财政拨款收入支出决算总表》</w:t>
      </w:r>
    </w:p>
    <w:p w14:paraId="4ABC8C0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五、《一般公共预算财政拨款支出决算表》</w:t>
      </w:r>
    </w:p>
    <w:p w14:paraId="3269E20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六、《一般公共预算财政拨款基本支出决算表》</w:t>
      </w:r>
    </w:p>
    <w:p w14:paraId="25CEAC3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七、《政府性基金预算财政拨款收入支出决算表》</w:t>
      </w:r>
    </w:p>
    <w:p w14:paraId="59D040A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八、《国有资本经营预算财政拨款收入支出决算表》</w:t>
      </w:r>
    </w:p>
    <w:p w14:paraId="0132B03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b w:val="0"/>
          <w:sz w:val="32"/>
          <w:szCs w:val="32"/>
        </w:rPr>
      </w:pPr>
      <w:r>
        <w:rPr>
          <w:rFonts w:ascii="仿宋_GB2312" w:eastAsia="仿宋_GB2312"/>
          <w:b w:val="0"/>
          <w:sz w:val="32"/>
          <w:szCs w:val="32"/>
        </w:rPr>
        <w:t>九、《财政拨款“</w:t>
      </w:r>
      <w:bookmarkStart w:id="0" w:name="_GoBack"/>
      <w:r>
        <w:rPr>
          <w:rFonts w:ascii="仿宋_GB2312" w:eastAsia="仿宋_GB2312"/>
          <w:b w:val="0"/>
          <w:sz w:val="32"/>
          <w:szCs w:val="32"/>
        </w:rPr>
        <w:t>三公</w:t>
      </w:r>
      <w:bookmarkEnd w:id="0"/>
      <w:r>
        <w:rPr>
          <w:rFonts w:ascii="仿宋_GB2312" w:eastAsia="仿宋_GB2312"/>
          <w:b w:val="0"/>
          <w:sz w:val="32"/>
          <w:szCs w:val="32"/>
        </w:rPr>
        <w:t>”经费支出决算表》</w:t>
      </w:r>
    </w:p>
    <w:p w14:paraId="5B8F8E1A">
      <w:pPr>
        <w:pStyle w:val="2"/>
        <w:keepNext w:val="0"/>
        <w:keepLines w:val="0"/>
        <w:pageBreakBefore w:val="0"/>
        <w:kinsoku/>
        <w:wordWrap/>
        <w:overflowPunct/>
        <w:topLinePunct w:val="0"/>
        <w:autoSpaceDE/>
        <w:autoSpaceDN/>
        <w:bidi w:val="0"/>
        <w:adjustRightInd/>
        <w:spacing w:line="560" w:lineRule="exact"/>
        <w:rPr>
          <w:rFonts w:ascii="仿宋_GB2312" w:eastAsia="仿宋_GB2312"/>
          <w:b w:val="0"/>
          <w:sz w:val="32"/>
          <w:szCs w:val="32"/>
        </w:rPr>
      </w:pPr>
    </w:p>
    <w:p w14:paraId="075BC195">
      <w:pPr>
        <w:pStyle w:val="2"/>
        <w:keepNext w:val="0"/>
        <w:keepLines w:val="0"/>
        <w:pageBreakBefore w:val="0"/>
        <w:kinsoku/>
        <w:wordWrap/>
        <w:overflowPunct/>
        <w:topLinePunct w:val="0"/>
        <w:autoSpaceDE/>
        <w:autoSpaceDN/>
        <w:bidi w:val="0"/>
        <w:adjustRightInd/>
        <w:spacing w:line="560" w:lineRule="exact"/>
        <w:rPr>
          <w:rFonts w:ascii="仿宋_GB2312" w:eastAsia="仿宋_GB2312"/>
          <w:b w:val="0"/>
          <w:sz w:val="32"/>
          <w:szCs w:val="32"/>
        </w:rPr>
      </w:pPr>
    </w:p>
    <w:p w14:paraId="3BA2CCA5">
      <w:pPr>
        <w:pStyle w:val="2"/>
        <w:keepNext w:val="0"/>
        <w:keepLines w:val="0"/>
        <w:pageBreakBefore w:val="0"/>
        <w:kinsoku/>
        <w:wordWrap/>
        <w:overflowPunct/>
        <w:topLinePunct w:val="0"/>
        <w:autoSpaceDE/>
        <w:autoSpaceDN/>
        <w:bidi w:val="0"/>
        <w:adjustRightInd/>
        <w:spacing w:line="560" w:lineRule="exact"/>
        <w:rPr>
          <w:rFonts w:ascii="仿宋_GB2312" w:eastAsia="仿宋_GB2312"/>
          <w:b w:val="0"/>
          <w:sz w:val="32"/>
          <w:szCs w:val="32"/>
        </w:rPr>
      </w:pPr>
    </w:p>
    <w:p w14:paraId="6E402494">
      <w:pPr>
        <w:pStyle w:val="2"/>
        <w:keepNext w:val="0"/>
        <w:keepLines w:val="0"/>
        <w:pageBreakBefore w:val="0"/>
        <w:kinsoku/>
        <w:wordWrap/>
        <w:overflowPunct/>
        <w:topLinePunct w:val="0"/>
        <w:autoSpaceDE/>
        <w:autoSpaceDN/>
        <w:bidi w:val="0"/>
        <w:adjustRightInd/>
        <w:spacing w:line="560" w:lineRule="exact"/>
        <w:rPr>
          <w:rFonts w:ascii="仿宋_GB2312" w:eastAsia="仿宋_GB2312"/>
          <w:b w:val="0"/>
          <w:sz w:val="32"/>
          <w:szCs w:val="32"/>
        </w:rPr>
      </w:pPr>
    </w:p>
    <w:sectPr>
      <w:footerReference r:id="rId3" w:type="default"/>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6983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91764B0">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DesQ8x4QEAAMwDAAAOAAAA&#10;AAAAAAEAIAAAAB4BAABkcnMvZTJvRG9jLnhtbFBLBQYAAAAABgAGAFkBAABxBQAAAAA=&#10;">
              <v:fill on="f" focussize="0,0"/>
              <v:stroke on="f"/>
              <v:imagedata o:title=""/>
              <o:lock v:ext="edit" aspectratio="f"/>
              <v:textbox inset="0mm,0mm,0mm,0mm" style="mso-fit-shape-to-text:t;">
                <w:txbxContent>
                  <w:p w14:paraId="691764B0">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1A30B9"/>
    <w:multiLevelType w:val="singleLevel"/>
    <w:tmpl w:val="F81A30B9"/>
    <w:lvl w:ilvl="0" w:tentative="0">
      <w:start w:val="1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hdrShapeDefaults>
    <o:shapelayout v:ext="edit">
      <o:idmap v:ext="edit" data="3,4"/>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431485"/>
    <w:rsid w:val="03116328"/>
    <w:rsid w:val="044E7DAB"/>
    <w:rsid w:val="05096B39"/>
    <w:rsid w:val="09B13A8F"/>
    <w:rsid w:val="0E0B2B80"/>
    <w:rsid w:val="12F1180D"/>
    <w:rsid w:val="14EC610B"/>
    <w:rsid w:val="158E3B59"/>
    <w:rsid w:val="188048C0"/>
    <w:rsid w:val="1A6D40AD"/>
    <w:rsid w:val="1C222BE0"/>
    <w:rsid w:val="1F0E25E7"/>
    <w:rsid w:val="26365340"/>
    <w:rsid w:val="29477743"/>
    <w:rsid w:val="298A02CC"/>
    <w:rsid w:val="347A5AAF"/>
    <w:rsid w:val="360005D3"/>
    <w:rsid w:val="391074E0"/>
    <w:rsid w:val="4518371A"/>
    <w:rsid w:val="45B7140D"/>
    <w:rsid w:val="4C3A7157"/>
    <w:rsid w:val="4F08419B"/>
    <w:rsid w:val="548F5A1D"/>
    <w:rsid w:val="5A44664E"/>
    <w:rsid w:val="5A9924BA"/>
    <w:rsid w:val="70D27613"/>
    <w:rsid w:val="781A15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49</Pages>
  <TotalTime>0</TotalTime>
  <ScaleCrop>false</ScaleCrop>
  <LinksUpToDate>false</LinksUpToDate>
  <Application>WPS Office_12.8.2.21555_F1E327BC-269C-435d-A152-05C5408002CA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2025-09-13T05:26:00Z</dcterms:created>
  <dc:creator>dell</dc:creator>
  <cp:lastModifiedBy>Administrator</cp:lastModifiedBy>
  <dcterms:modified xsi:type="dcterms:W3CDTF">2025-11-11T03:14:13Z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9CEB55CAB35E42EB946C4BC0DA822DD1_13</vt:lpwstr>
  </property>
</Properties>
</file>