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448A4">
      <w:pPr>
        <w:keepNext w:val="0"/>
        <w:keepLines w:val="0"/>
        <w:pageBreakBefore w:val="0"/>
        <w:widowControl/>
        <w:kinsoku/>
        <w:wordWrap/>
        <w:overflowPunct/>
        <w:topLinePunct w:val="0"/>
        <w:autoSpaceDE/>
        <w:autoSpaceDN/>
        <w:bidi w:val="0"/>
        <w:adjustRightInd/>
        <w:spacing w:line="560" w:lineRule="exact"/>
        <w:ind w:left="0" w:firstLine="640" w:firstLineChars="200"/>
        <w:jc w:val="left"/>
        <w:rPr>
          <w:rFonts w:ascii="黑体" w:hAnsi="黑体" w:eastAsia="黑体" w:cs="宋体"/>
          <w:color w:val="333333"/>
          <w:sz w:val="32"/>
          <w:szCs w:val="32"/>
          <w:lang w:bidi="ar"/>
        </w:rPr>
      </w:pPr>
      <w:bookmarkStart w:id="1" w:name="_GoBack"/>
      <w:r>
        <w:rPr>
          <w:rFonts w:hint="eastAsia" w:ascii="黑体" w:hAnsi="黑体" w:eastAsia="黑体" w:cs="宋体"/>
          <w:color w:val="333333"/>
          <w:sz w:val="32"/>
          <w:szCs w:val="32"/>
          <w:lang w:bidi="ar"/>
        </w:rPr>
        <w:t>附件4：</w:t>
      </w:r>
    </w:p>
    <w:p w14:paraId="7182D954">
      <w:pPr>
        <w:keepNext w:val="0"/>
        <w:keepLines w:val="0"/>
        <w:pageBreakBefore w:val="0"/>
        <w:kinsoku/>
        <w:wordWrap/>
        <w:overflowPunct/>
        <w:topLinePunct w:val="0"/>
        <w:autoSpaceDE/>
        <w:autoSpaceDN/>
        <w:bidi w:val="0"/>
        <w:adjustRightInd/>
        <w:spacing w:line="560" w:lineRule="exact"/>
        <w:ind w:left="0" w:firstLine="964" w:firstLineChars="200"/>
        <w:jc w:val="center"/>
        <w:rPr>
          <w:rFonts w:ascii="方正小标宋_GBK" w:hAnsi="华文中宋" w:eastAsia="方正小标宋_GBK" w:cs="宋体"/>
          <w:b/>
          <w:kern w:val="0"/>
          <w:sz w:val="48"/>
          <w:szCs w:val="48"/>
        </w:rPr>
      </w:pPr>
    </w:p>
    <w:p w14:paraId="4FD2811F">
      <w:pPr>
        <w:keepNext w:val="0"/>
        <w:keepLines w:val="0"/>
        <w:pageBreakBefore w:val="0"/>
        <w:kinsoku/>
        <w:wordWrap/>
        <w:overflowPunct/>
        <w:topLinePunct w:val="0"/>
        <w:autoSpaceDE/>
        <w:autoSpaceDN/>
        <w:bidi w:val="0"/>
        <w:adjustRightInd/>
        <w:spacing w:line="560" w:lineRule="exact"/>
        <w:ind w:left="0" w:firstLine="964" w:firstLineChars="200"/>
        <w:jc w:val="center"/>
        <w:rPr>
          <w:rFonts w:ascii="方正小标宋_GBK" w:hAnsi="华文中宋" w:eastAsia="方正小标宋_GBK" w:cs="宋体"/>
          <w:b/>
          <w:kern w:val="0"/>
          <w:sz w:val="48"/>
          <w:szCs w:val="48"/>
        </w:rPr>
      </w:pPr>
    </w:p>
    <w:p w14:paraId="4F9F59AC">
      <w:pPr>
        <w:keepNext w:val="0"/>
        <w:keepLines w:val="0"/>
        <w:pageBreakBefore w:val="0"/>
        <w:kinsoku/>
        <w:wordWrap/>
        <w:overflowPunct/>
        <w:topLinePunct w:val="0"/>
        <w:autoSpaceDE/>
        <w:autoSpaceDN/>
        <w:bidi w:val="0"/>
        <w:adjustRightInd/>
        <w:spacing w:line="560" w:lineRule="exact"/>
        <w:ind w:left="0" w:firstLine="964" w:firstLineChars="200"/>
        <w:jc w:val="center"/>
        <w:rPr>
          <w:rFonts w:ascii="方正小标宋_GBK" w:hAnsi="华文中宋" w:eastAsia="方正小标宋_GBK" w:cs="宋体"/>
          <w:b/>
          <w:kern w:val="0"/>
          <w:sz w:val="48"/>
          <w:szCs w:val="48"/>
        </w:rPr>
      </w:pPr>
    </w:p>
    <w:p w14:paraId="3337E255">
      <w:pPr>
        <w:keepNext w:val="0"/>
        <w:keepLines w:val="0"/>
        <w:pageBreakBefore w:val="0"/>
        <w:kinsoku/>
        <w:wordWrap/>
        <w:overflowPunct/>
        <w:topLinePunct w:val="0"/>
        <w:autoSpaceDE/>
        <w:autoSpaceDN/>
        <w:bidi w:val="0"/>
        <w:adjustRightInd/>
        <w:spacing w:line="560" w:lineRule="exact"/>
        <w:ind w:left="0" w:firstLine="964" w:firstLineChars="200"/>
        <w:jc w:val="center"/>
        <w:rPr>
          <w:rFonts w:ascii="方正小标宋_GBK" w:hAnsi="华文中宋" w:eastAsia="方正小标宋_GBK" w:cs="宋体"/>
          <w:b/>
          <w:kern w:val="0"/>
          <w:sz w:val="48"/>
          <w:szCs w:val="48"/>
        </w:rPr>
      </w:pPr>
    </w:p>
    <w:p w14:paraId="2E84EBC4">
      <w:pPr>
        <w:keepNext w:val="0"/>
        <w:keepLines w:val="0"/>
        <w:pageBreakBefore w:val="0"/>
        <w:kinsoku/>
        <w:wordWrap/>
        <w:overflowPunct/>
        <w:topLinePunct w:val="0"/>
        <w:autoSpaceDE/>
        <w:autoSpaceDN/>
        <w:bidi w:val="0"/>
        <w:adjustRightInd/>
        <w:spacing w:line="560" w:lineRule="exact"/>
        <w:ind w:left="0" w:firstLine="964" w:firstLineChars="200"/>
        <w:jc w:val="center"/>
        <w:rPr>
          <w:rFonts w:ascii="方正小标宋_GBK" w:hAnsi="华文中宋" w:eastAsia="方正小标宋_GBK" w:cs="宋体"/>
          <w:b/>
          <w:kern w:val="0"/>
          <w:sz w:val="48"/>
          <w:szCs w:val="48"/>
        </w:rPr>
      </w:pPr>
    </w:p>
    <w:p w14:paraId="2877CF74">
      <w:pPr>
        <w:keepNext w:val="0"/>
        <w:keepLines w:val="0"/>
        <w:pageBreakBefore w:val="0"/>
        <w:kinsoku/>
        <w:wordWrap/>
        <w:overflowPunct/>
        <w:topLinePunct w:val="0"/>
        <w:autoSpaceDE/>
        <w:autoSpaceDN/>
        <w:bidi w:val="0"/>
        <w:adjustRightInd/>
        <w:spacing w:line="560" w:lineRule="exact"/>
        <w:ind w:left="0" w:firstLine="964" w:firstLineChars="200"/>
        <w:jc w:val="center"/>
        <w:rPr>
          <w:rFonts w:ascii="方正小标宋_GBK" w:hAnsi="华文中宋" w:eastAsia="方正小标宋_GBK" w:cs="宋体"/>
          <w:b/>
          <w:kern w:val="0"/>
          <w:sz w:val="48"/>
          <w:szCs w:val="48"/>
        </w:rPr>
      </w:pPr>
    </w:p>
    <w:p w14:paraId="23CC89AA">
      <w:pPr>
        <w:keepNext w:val="0"/>
        <w:keepLines w:val="0"/>
        <w:pageBreakBefore w:val="0"/>
        <w:kinsoku/>
        <w:wordWrap/>
        <w:overflowPunct/>
        <w:topLinePunct w:val="0"/>
        <w:autoSpaceDE/>
        <w:autoSpaceDN/>
        <w:bidi w:val="0"/>
        <w:adjustRightInd/>
        <w:spacing w:line="560" w:lineRule="exact"/>
        <w:ind w:left="0" w:firstLine="1044" w:firstLineChars="200"/>
        <w:jc w:val="center"/>
        <w:rPr>
          <w:rFonts w:ascii="方正小标宋_GBK" w:hAnsi="华文中宋" w:eastAsia="方正小标宋_GBK" w:cs="宋体"/>
          <w:b/>
          <w:kern w:val="0"/>
          <w:sz w:val="52"/>
          <w:szCs w:val="52"/>
        </w:rPr>
      </w:pPr>
      <w:r>
        <w:rPr>
          <w:rFonts w:hint="eastAsia" w:ascii="方正小标宋_GBK" w:hAnsi="华文中宋" w:eastAsia="方正小标宋_GBK" w:cs="宋体"/>
          <w:b/>
          <w:kern w:val="0"/>
          <w:sz w:val="52"/>
          <w:szCs w:val="52"/>
        </w:rPr>
        <w:t>部门单位整体支出绩效</w:t>
      </w:r>
    </w:p>
    <w:p w14:paraId="3FA5DC69">
      <w:pPr>
        <w:keepNext w:val="0"/>
        <w:keepLines w:val="0"/>
        <w:pageBreakBefore w:val="0"/>
        <w:kinsoku/>
        <w:wordWrap/>
        <w:overflowPunct/>
        <w:topLinePunct w:val="0"/>
        <w:autoSpaceDE/>
        <w:autoSpaceDN/>
        <w:bidi w:val="0"/>
        <w:adjustRightInd/>
        <w:spacing w:line="560" w:lineRule="exact"/>
        <w:ind w:left="0" w:firstLine="1044" w:firstLineChars="200"/>
        <w:jc w:val="center"/>
        <w:rPr>
          <w:rFonts w:ascii="方正小标宋_GBK" w:hAnsi="华文中宋" w:eastAsia="方正小标宋_GBK" w:cs="宋体"/>
          <w:b/>
          <w:kern w:val="0"/>
          <w:sz w:val="52"/>
          <w:szCs w:val="52"/>
        </w:rPr>
      </w:pPr>
      <w:r>
        <w:rPr>
          <w:rFonts w:hint="eastAsia" w:ascii="方正小标宋_GBK" w:hAnsi="华文中宋" w:eastAsia="方正小标宋_GBK" w:cs="宋体"/>
          <w:b/>
          <w:kern w:val="0"/>
          <w:sz w:val="52"/>
          <w:szCs w:val="52"/>
        </w:rPr>
        <w:t>自评报告</w:t>
      </w:r>
    </w:p>
    <w:p w14:paraId="25753EB1">
      <w:pPr>
        <w:keepNext w:val="0"/>
        <w:keepLines w:val="0"/>
        <w:pageBreakBefore w:val="0"/>
        <w:kinsoku/>
        <w:wordWrap/>
        <w:overflowPunct/>
        <w:topLinePunct w:val="0"/>
        <w:autoSpaceDE/>
        <w:autoSpaceDN/>
        <w:bidi w:val="0"/>
        <w:adjustRightInd/>
        <w:spacing w:line="560" w:lineRule="exact"/>
        <w:ind w:left="0" w:firstLine="1044" w:firstLineChars="200"/>
        <w:jc w:val="center"/>
        <w:rPr>
          <w:rFonts w:ascii="华文中宋" w:hAnsi="华文中宋" w:eastAsia="华文中宋" w:cs="宋体"/>
          <w:b/>
          <w:kern w:val="0"/>
          <w:sz w:val="52"/>
          <w:szCs w:val="52"/>
        </w:rPr>
      </w:pPr>
    </w:p>
    <w:p w14:paraId="6C9B7E6B">
      <w:pPr>
        <w:keepNext w:val="0"/>
        <w:keepLines w:val="0"/>
        <w:pageBreakBefore w:val="0"/>
        <w:kinsoku/>
        <w:wordWrap/>
        <w:overflowPunct/>
        <w:topLinePunct w:val="0"/>
        <w:autoSpaceDE/>
        <w:autoSpaceDN/>
        <w:bidi w:val="0"/>
        <w:adjustRightInd/>
        <w:spacing w:line="560" w:lineRule="exact"/>
        <w:ind w:left="0" w:firstLine="720" w:firstLineChars="200"/>
        <w:jc w:val="center"/>
        <w:rPr>
          <w:rFonts w:hAnsi="宋体" w:eastAsia="仿宋_GB2312" w:cs="宋体"/>
          <w:kern w:val="0"/>
          <w:sz w:val="36"/>
          <w:szCs w:val="36"/>
        </w:rPr>
      </w:pPr>
      <w:r>
        <w:rPr>
          <w:rFonts w:hint="eastAsia" w:hAnsi="宋体" w:eastAsia="仿宋_GB2312" w:cs="宋体"/>
          <w:kern w:val="0"/>
          <w:sz w:val="36"/>
          <w:szCs w:val="36"/>
        </w:rPr>
        <w:t>（</w:t>
      </w:r>
      <w:r>
        <w:rPr>
          <w:rFonts w:hint="eastAsia" w:ascii="仿宋_GB2312" w:hAnsi="宋体" w:eastAsia="仿宋_GB2312"/>
          <w:b/>
          <w:sz w:val="32"/>
          <w:szCs w:val="32"/>
        </w:rPr>
        <w:t>2024</w:t>
      </w:r>
      <w:r>
        <w:rPr>
          <w:rFonts w:hint="eastAsia" w:hAnsi="宋体" w:eastAsia="仿宋_GB2312" w:cs="宋体"/>
          <w:kern w:val="0"/>
          <w:sz w:val="36"/>
          <w:szCs w:val="36"/>
        </w:rPr>
        <w:t>年度）</w:t>
      </w:r>
    </w:p>
    <w:p w14:paraId="751E84DF">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3E38A7EA">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0C335884">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77655465">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047A50E2">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04E43CDF">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4A4BA038">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5F4F5AB2">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78D4BD05">
      <w:pPr>
        <w:keepNext w:val="0"/>
        <w:keepLines w:val="0"/>
        <w:pageBreakBefore w:val="0"/>
        <w:kinsoku/>
        <w:wordWrap/>
        <w:overflowPunct/>
        <w:topLinePunct w:val="0"/>
        <w:autoSpaceDE/>
        <w:autoSpaceDN/>
        <w:bidi w:val="0"/>
        <w:adjustRightInd/>
        <w:spacing w:line="560" w:lineRule="exact"/>
        <w:rPr>
          <w:rFonts w:hAnsi="宋体" w:eastAsia="仿宋_GB2312" w:cs="宋体"/>
          <w:kern w:val="0"/>
          <w:sz w:val="44"/>
          <w:szCs w:val="44"/>
        </w:rPr>
      </w:pPr>
      <w:r>
        <w:rPr>
          <w:rFonts w:hint="eastAsia" w:hAnsi="宋体" w:eastAsia="仿宋_GB2312" w:cs="宋体"/>
          <w:kern w:val="0"/>
          <w:sz w:val="36"/>
          <w:szCs w:val="36"/>
        </w:rPr>
        <w:t>部门单位名称（公章）</w:t>
      </w:r>
      <w:r>
        <w:rPr>
          <w:rFonts w:hint="eastAsia" w:ascii="仿宋" w:hAnsi="仿宋" w:eastAsia="仿宋" w:cs="仿宋"/>
          <w:kern w:val="0"/>
          <w:sz w:val="44"/>
          <w:szCs w:val="44"/>
        </w:rPr>
        <w:t>：</w:t>
      </w:r>
      <w:r>
        <w:rPr>
          <w:rStyle w:val="7"/>
          <w:rFonts w:hint="eastAsia" w:ascii="仿宋" w:hAnsi="仿宋" w:eastAsia="仿宋" w:cs="仿宋"/>
          <w:b w:val="0"/>
          <w:bCs w:val="0"/>
          <w:spacing w:val="-4"/>
          <w:sz w:val="36"/>
          <w:szCs w:val="36"/>
        </w:rPr>
        <w:t>乌鲁木齐经济技术开发区管理委员会（乌鲁木齐市头屯河区人民政府）办公室</w:t>
      </w:r>
    </w:p>
    <w:p w14:paraId="357BB034">
      <w:pPr>
        <w:keepNext w:val="0"/>
        <w:keepLines w:val="0"/>
        <w:pageBreakBefore w:val="0"/>
        <w:kinsoku/>
        <w:wordWrap/>
        <w:overflowPunct/>
        <w:topLinePunct w:val="0"/>
        <w:autoSpaceDE/>
        <w:autoSpaceDN/>
        <w:bidi w:val="0"/>
        <w:adjustRightInd/>
        <w:spacing w:line="560" w:lineRule="exact"/>
        <w:rPr>
          <w:rFonts w:ascii="仿宋" w:hAnsi="仿宋" w:eastAsia="仿宋" w:cs="仿宋"/>
          <w:kern w:val="0"/>
          <w:sz w:val="44"/>
          <w:szCs w:val="44"/>
        </w:rPr>
      </w:pPr>
      <w:r>
        <w:rPr>
          <w:rFonts w:hint="eastAsia" w:hAnsi="宋体" w:eastAsia="仿宋_GB2312" w:cs="宋体"/>
          <w:kern w:val="0"/>
          <w:sz w:val="36"/>
          <w:szCs w:val="36"/>
        </w:rPr>
        <w:t>填报时间：</w:t>
      </w:r>
      <w:r>
        <w:rPr>
          <w:rStyle w:val="7"/>
          <w:rFonts w:eastAsia="方正仿宋_GBK"/>
          <w:b w:val="0"/>
          <w:bCs w:val="0"/>
          <w:spacing w:val="-4"/>
          <w:sz w:val="36"/>
          <w:szCs w:val="36"/>
        </w:rPr>
        <w:t>2025年02月14日</w:t>
      </w:r>
    </w:p>
    <w:p w14:paraId="293B6BE7">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2771D973">
      <w:pPr>
        <w:keepNext w:val="0"/>
        <w:keepLines w:val="0"/>
        <w:pageBreakBefore w:val="0"/>
        <w:kinsoku/>
        <w:wordWrap/>
        <w:overflowPunct/>
        <w:topLinePunct w:val="0"/>
        <w:autoSpaceDE/>
        <w:autoSpaceDN/>
        <w:bidi w:val="0"/>
        <w:adjustRightInd/>
        <w:spacing w:line="560" w:lineRule="exact"/>
        <w:ind w:left="0" w:firstLine="720" w:firstLineChars="200"/>
        <w:jc w:val="left"/>
        <w:rPr>
          <w:rFonts w:hAnsi="宋体" w:eastAsia="仿宋_GB2312" w:cs="宋体"/>
          <w:kern w:val="0"/>
          <w:sz w:val="36"/>
          <w:szCs w:val="36"/>
        </w:rPr>
      </w:pPr>
    </w:p>
    <w:p w14:paraId="56B9A40A">
      <w:pPr>
        <w:keepNext w:val="0"/>
        <w:keepLines w:val="0"/>
        <w:pageBreakBefore w:val="0"/>
        <w:numPr>
          <w:ilvl w:val="0"/>
          <w:numId w:val="1"/>
        </w:numPr>
        <w:kinsoku/>
        <w:wordWrap/>
        <w:overflowPunct/>
        <w:topLinePunct w:val="0"/>
        <w:autoSpaceDE/>
        <w:autoSpaceDN/>
        <w:bidi w:val="0"/>
        <w:adjustRightInd/>
        <w:snapToGrid w:val="0"/>
        <w:spacing w:line="560" w:lineRule="exact"/>
        <w:ind w:left="0" w:firstLine="643" w:firstLineChars="200"/>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基本概况：</w:t>
      </w:r>
    </w:p>
    <w:p w14:paraId="196C977B">
      <w:pPr>
        <w:keepNext w:val="0"/>
        <w:keepLines w:val="0"/>
        <w:pageBreakBefore w:val="0"/>
        <w:kinsoku/>
        <w:wordWrap/>
        <w:overflowPunct/>
        <w:topLinePunct w:val="0"/>
        <w:autoSpaceDE/>
        <w:autoSpaceDN/>
        <w:bidi w:val="0"/>
        <w:adjustRightInd/>
        <w:spacing w:line="560" w:lineRule="exact"/>
        <w:ind w:left="0" w:firstLine="643" w:firstLineChars="200"/>
        <w:jc w:val="left"/>
        <w:rPr>
          <w:rFonts w:ascii="Arial" w:hAnsi="Arial" w:cs="Arial"/>
          <w:b/>
          <w:bCs/>
          <w:color w:val="333333"/>
          <w:sz w:val="30"/>
          <w:szCs w:val="30"/>
        </w:rPr>
      </w:pPr>
      <w:r>
        <w:rPr>
          <w:rFonts w:hint="eastAsia" w:ascii="黑体" w:hAnsi="黑体" w:eastAsia="黑体" w:cs="宋体"/>
          <w:b/>
          <w:color w:val="000000" w:themeColor="text1"/>
          <w:sz w:val="32"/>
          <w:szCs w:val="32"/>
          <w:lang w:bidi="ar"/>
          <w14:textFill>
            <w14:solidFill>
              <w14:schemeClr w14:val="tx1"/>
            </w14:solidFill>
          </w14:textFill>
        </w:rPr>
        <w:t>（一）</w:t>
      </w:r>
      <w:r>
        <w:rPr>
          <w:rFonts w:ascii="黑体" w:hAnsi="黑体" w:eastAsia="黑体" w:cs="宋体"/>
          <w:b/>
          <w:color w:val="000000" w:themeColor="text1"/>
          <w:sz w:val="32"/>
          <w:szCs w:val="32"/>
          <w:lang w:bidi="ar"/>
          <w14:textFill>
            <w14:solidFill>
              <w14:schemeClr w14:val="tx1"/>
            </w14:solidFill>
          </w14:textFill>
        </w:rPr>
        <w:t>部门单位基本情况</w:t>
      </w:r>
      <w:r>
        <w:rPr>
          <w:rFonts w:hint="eastAsia" w:ascii="Arial" w:hAnsi="Arial" w:cs="Arial"/>
          <w:b/>
          <w:bCs/>
          <w:color w:val="333333"/>
          <w:sz w:val="30"/>
          <w:szCs w:val="30"/>
        </w:rPr>
        <w:t>：</w:t>
      </w:r>
    </w:p>
    <w:p w14:paraId="5C67CC16">
      <w:pPr>
        <w:keepNext w:val="0"/>
        <w:keepLines w:val="0"/>
        <w:pageBreakBefore w:val="0"/>
        <w:kinsoku/>
        <w:wordWrap/>
        <w:overflowPunct/>
        <w:topLinePunct w:val="0"/>
        <w:autoSpaceDE/>
        <w:autoSpaceDN/>
        <w:bidi w:val="0"/>
        <w:adjustRightInd/>
        <w:spacing w:line="560" w:lineRule="exact"/>
        <w:ind w:left="0" w:firstLine="640" w:firstLineChars="200"/>
        <w:jc w:val="left"/>
        <w:rPr>
          <w:rFonts w:eastAsia="仿宋_GB2312"/>
          <w:bCs/>
          <w:sz w:val="32"/>
          <w:szCs w:val="32"/>
        </w:rPr>
      </w:pPr>
      <w:r>
        <w:rPr>
          <w:rFonts w:eastAsia="仿宋_GB2312"/>
          <w:bCs/>
          <w:sz w:val="32"/>
          <w:szCs w:val="32"/>
        </w:rPr>
        <w:t>1．单位主要职能</w:t>
      </w:r>
    </w:p>
    <w:p w14:paraId="7D284C14">
      <w:pPr>
        <w:keepNext w:val="0"/>
        <w:keepLines w:val="0"/>
        <w:pageBreakBefore w:val="0"/>
        <w:kinsoku/>
        <w:wordWrap/>
        <w:overflowPunct/>
        <w:topLinePunct w:val="0"/>
        <w:autoSpaceDE/>
        <w:autoSpaceDN/>
        <w:bidi w:val="0"/>
        <w:adjustRightInd/>
        <w:spacing w:line="560" w:lineRule="exact"/>
        <w:ind w:left="0" w:firstLine="640" w:firstLineChars="200"/>
        <w:jc w:val="left"/>
        <w:rPr>
          <w:rFonts w:eastAsia="仿宋_GB2312"/>
          <w:bCs/>
          <w:sz w:val="32"/>
          <w:szCs w:val="32"/>
        </w:rPr>
      </w:pPr>
      <w:r>
        <w:rPr>
          <w:rFonts w:eastAsia="仿宋_GB2312"/>
          <w:bCs/>
          <w:sz w:val="32"/>
          <w:szCs w:val="32"/>
        </w:rPr>
        <w:t>乌鲁木齐经济技术开发区管理委员会（乌鲁木齐市头屯河区人民政府）办公室为全额拨款行政事业单位，主要承担党务、政务方向的综合协调、文书工作；区委、管委会（区政府）办公室方向的文秘、会务等工作；区委、政府信息、督查工作；机要、保密、机关事务、外事侨务等工作。</w:t>
      </w:r>
      <w:r>
        <w:rPr>
          <w:rFonts w:eastAsia="仿宋_GB2312"/>
          <w:bCs/>
          <w:sz w:val="32"/>
          <w:szCs w:val="32"/>
        </w:rPr>
        <w:br w:type="textWrapping"/>
      </w:r>
      <w:r>
        <w:rPr>
          <w:rFonts w:hint="eastAsia" w:eastAsia="仿宋_GB2312"/>
          <w:bCs/>
          <w:sz w:val="32"/>
          <w:szCs w:val="32"/>
          <w:lang w:val="en-US" w:eastAsia="zh-CN"/>
        </w:rPr>
        <w:t xml:space="preserve">    </w:t>
      </w:r>
      <w:r>
        <w:rPr>
          <w:rFonts w:eastAsia="仿宋_GB2312"/>
          <w:bCs/>
          <w:sz w:val="32"/>
          <w:szCs w:val="32"/>
        </w:rPr>
        <w:t>2．单位机构设置及人员构成</w:t>
      </w:r>
      <w:r>
        <w:rPr>
          <w:rFonts w:eastAsia="仿宋_GB2312"/>
          <w:bCs/>
          <w:sz w:val="32"/>
          <w:szCs w:val="32"/>
        </w:rPr>
        <w:br w:type="textWrapping"/>
      </w:r>
      <w:r>
        <w:rPr>
          <w:rFonts w:hint="eastAsia" w:eastAsia="仿宋_GB2312"/>
          <w:bCs/>
          <w:sz w:val="32"/>
          <w:szCs w:val="32"/>
          <w:lang w:val="en-US" w:eastAsia="zh-CN"/>
        </w:rPr>
        <w:t xml:space="preserve">    </w:t>
      </w:r>
      <w:r>
        <w:rPr>
          <w:rFonts w:eastAsia="仿宋_GB2312"/>
          <w:bCs/>
          <w:sz w:val="32"/>
          <w:szCs w:val="32"/>
        </w:rPr>
        <w:t>乌鲁木齐经济技术开发区管理委员会（乌鲁木齐市头屯河区人民政府）办公室单位无下属预算单位，下设11个处室，分别是：区委办综合科、政府办综合科、区委办文秘科、政府办文秘科、机关事务管理中心、电子政务中心、机要保密科、党委信息技术中心、发展研究中心、金融服务中心、档案馆。</w:t>
      </w:r>
      <w:r>
        <w:rPr>
          <w:rFonts w:eastAsia="仿宋_GB2312"/>
          <w:bCs/>
          <w:sz w:val="32"/>
          <w:szCs w:val="32"/>
        </w:rPr>
        <w:br w:type="textWrapping"/>
      </w:r>
      <w:r>
        <w:rPr>
          <w:rFonts w:hint="eastAsia" w:eastAsia="仿宋_GB2312"/>
          <w:bCs/>
          <w:sz w:val="32"/>
          <w:szCs w:val="32"/>
          <w:lang w:val="en-US" w:eastAsia="zh-CN"/>
        </w:rPr>
        <w:t xml:space="preserve">    </w:t>
      </w:r>
      <w:r>
        <w:rPr>
          <w:rFonts w:eastAsia="仿宋_GB2312"/>
          <w:bCs/>
          <w:sz w:val="32"/>
          <w:szCs w:val="32"/>
        </w:rPr>
        <w:t>乌鲁木齐经济技术开发区管理委员会（乌鲁木齐市头屯河区人民政府）办公室单位编制数78，实有人数65人，其中：在职63人，增加5人；退休2人，增加1人；离休0人，增加0人。</w:t>
      </w:r>
      <w:bookmarkStart w:id="0" w:name="_Hlk43849111"/>
      <w:bookmarkEnd w:id="0"/>
    </w:p>
    <w:p w14:paraId="41B998FA">
      <w:pPr>
        <w:keepNext w:val="0"/>
        <w:keepLines w:val="0"/>
        <w:pageBreakBefore w:val="0"/>
        <w:kinsoku/>
        <w:wordWrap/>
        <w:overflowPunct/>
        <w:topLinePunct w:val="0"/>
        <w:autoSpaceDE/>
        <w:autoSpaceDN/>
        <w:bidi w:val="0"/>
        <w:adjustRightInd/>
        <w:spacing w:line="560" w:lineRule="exact"/>
        <w:ind w:left="0" w:firstLine="643" w:firstLineChars="200"/>
        <w:jc w:val="left"/>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（二）</w:t>
      </w:r>
      <w:r>
        <w:rPr>
          <w:rFonts w:ascii="黑体" w:hAnsi="黑体" w:eastAsia="黑体" w:cs="宋体"/>
          <w:b/>
          <w:color w:val="000000" w:themeColor="text1"/>
          <w:sz w:val="32"/>
          <w:szCs w:val="32"/>
          <w:lang w:bidi="ar"/>
          <w14:textFill>
            <w14:solidFill>
              <w14:schemeClr w14:val="tx1"/>
            </w14:solidFill>
          </w14:textFill>
        </w:rPr>
        <w:t>部门单位年度重点工作：</w:t>
      </w:r>
    </w:p>
    <w:p w14:paraId="3A37CE78">
      <w:pPr>
        <w:keepNext w:val="0"/>
        <w:keepLines w:val="0"/>
        <w:pageBreakBefore w:val="0"/>
        <w:kinsoku/>
        <w:wordWrap/>
        <w:overflowPunct/>
        <w:topLinePunct w:val="0"/>
        <w:autoSpaceDE/>
        <w:autoSpaceDN/>
        <w:bidi w:val="0"/>
        <w:adjustRightInd/>
        <w:spacing w:line="560" w:lineRule="exact"/>
        <w:ind w:left="0" w:firstLine="640" w:firstLineChars="200"/>
        <w:jc w:val="left"/>
        <w:rPr>
          <w:rFonts w:eastAsia="仿宋_GB2312"/>
          <w:bCs/>
          <w:sz w:val="32"/>
          <w:szCs w:val="32"/>
        </w:rPr>
      </w:pPr>
      <w:r>
        <w:rPr>
          <w:rFonts w:hint="eastAsia" w:eastAsia="仿宋_GB2312"/>
          <w:bCs/>
          <w:sz w:val="32"/>
          <w:szCs w:val="32"/>
        </w:rPr>
        <w:t>1.落实责任，全力以赴做好维护稳定工作。2.做好区委办、政府办文秘、发展研究和信息督查工作，当好参谋助手。3.做好综合对接协调工作，发挥办公室中枢运转作用。4.加强依法行政，提高正度的法制建设水平。5.规范采购、优化服务，充分发挥后勤保障作用。6.提升电子政务服务水平，做好人事劳资、财务管理、档案管理等工作。</w:t>
      </w:r>
    </w:p>
    <w:p w14:paraId="1741ECAF">
      <w:pPr>
        <w:keepNext w:val="0"/>
        <w:keepLines w:val="0"/>
        <w:pageBreakBefore w:val="0"/>
        <w:kinsoku/>
        <w:wordWrap/>
        <w:overflowPunct/>
        <w:topLinePunct w:val="0"/>
        <w:autoSpaceDE/>
        <w:autoSpaceDN/>
        <w:bidi w:val="0"/>
        <w:adjustRightInd/>
        <w:spacing w:line="560" w:lineRule="exact"/>
        <w:ind w:left="0" w:firstLine="643" w:firstLineChars="200"/>
        <w:jc w:val="left"/>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（三）</w:t>
      </w:r>
      <w:r>
        <w:rPr>
          <w:rFonts w:ascii="黑体" w:hAnsi="黑体" w:eastAsia="黑体" w:cs="宋体"/>
          <w:b/>
          <w:color w:val="000000" w:themeColor="text1"/>
          <w:sz w:val="32"/>
          <w:szCs w:val="32"/>
          <w:lang w:bidi="ar"/>
          <w14:textFill>
            <w14:solidFill>
              <w14:schemeClr w14:val="tx1"/>
            </w14:solidFill>
          </w14:textFill>
        </w:rPr>
        <w:t>部门单位整体预算规模及安排情况：</w:t>
      </w:r>
    </w:p>
    <w:p w14:paraId="3A39477A">
      <w:pPr>
        <w:keepNext w:val="0"/>
        <w:keepLines w:val="0"/>
        <w:pageBreakBefore w:val="0"/>
        <w:kinsoku/>
        <w:wordWrap/>
        <w:overflowPunct/>
        <w:topLinePunct w:val="0"/>
        <w:autoSpaceDE/>
        <w:autoSpaceDN/>
        <w:bidi w:val="0"/>
        <w:adjustRightInd/>
        <w:spacing w:line="560" w:lineRule="exact"/>
        <w:ind w:firstLine="640" w:firstLineChars="200"/>
        <w:jc w:val="left"/>
        <w:rPr>
          <w:rFonts w:eastAsia="仿宋_GB2312"/>
          <w:bCs/>
          <w:sz w:val="32"/>
          <w:szCs w:val="32"/>
        </w:rPr>
      </w:pPr>
      <w:r>
        <w:rPr>
          <w:rFonts w:hint="eastAsia" w:eastAsia="仿宋_GB2312"/>
          <w:bCs/>
          <w:sz w:val="32"/>
          <w:szCs w:val="32"/>
        </w:rPr>
        <w:t>1．2024年收入预算情况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乌鲁木齐经济技术开发区管理委员会（乌鲁木齐市头屯河区人民政府）办公室收入预算14908.07万元，其中：</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 xml:space="preserve">一般公共预算12352.58 万元，占82.86%，比上年预算增加10826.16万元，增长709.25%，主要原因是新增再安排生态环境分局专项中央大气污染防治资金10888.79万元；    </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上级一般公共预算安排的转移支付资金未安排。</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政府性基金预算未安排。</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 xml:space="preserve">上级政府性基金安排的转移支付资金未安排。 </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国有资本经营预算未安排。</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 xml:space="preserve">上级国有资本经营预算安排的转移支付资金未安排。     </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财政拨款结转2555.49万元，占17.14%，比上年预算减少8383.30万元，下降76.64%，主要原因是减少生态环境分局专项中央大气污染防治结转资金10888.79万元；新增金融中心专项普惠金融发展结转资金1462.83万元。</w:t>
      </w:r>
      <w:r>
        <w:rPr>
          <w:rFonts w:hint="eastAsia" w:eastAsia="仿宋_GB2312"/>
          <w:bCs/>
          <w:sz w:val="32"/>
          <w:szCs w:val="32"/>
        </w:rPr>
        <w:cr/>
      </w:r>
      <w:r>
        <w:rPr>
          <w:rFonts w:hint="eastAsia" w:eastAsia="仿宋_GB2312"/>
          <w:bCs/>
          <w:sz w:val="32"/>
          <w:szCs w:val="32"/>
          <w:lang w:val="en-US" w:eastAsia="zh-CN"/>
        </w:rPr>
        <w:t xml:space="preserve">    </w:t>
      </w:r>
      <w:r>
        <w:rPr>
          <w:rFonts w:hint="eastAsia" w:eastAsia="仿宋_GB2312"/>
          <w:bCs/>
          <w:sz w:val="32"/>
          <w:szCs w:val="32"/>
        </w:rPr>
        <w:t>2．2024年支出预算情况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乌鲁木齐经济技术开发区管理委员会（乌鲁木齐市头屯河区人民政府）办公室2024年支出预算14908.07万元，其中：</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基本支出1129.21万元，占7.57%，比上年预算增加减少101.91万元，下降8.28%，主要原因是在职人员减少3人，人员经费及公用经费减少。</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项目支出13778.86万元，占92.43%，比上年预算增加2544.77万元，增长22.65%，主要原因是新增生态环境分局再安排中央大气污染防治资金1042.66万元；新增金融中心专项普惠金融发展结转资金1462.83万。</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3．2024年预算调整情况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我单位2024年度年初预算数为14908.07万元，调整后全年预算数为9771.75万元，预算调整数为5136.32万元，预算调整率为34.45%。预算调整原因是：人员经费调增160.76万元，公用经费调减14.82万元，项目支出调减5282.26万元。</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4．资金使用主要内容、涉及的范围</w:t>
      </w:r>
      <w:r>
        <w:rPr>
          <w:rFonts w:hint="eastAsia" w:eastAsia="仿宋_GB2312"/>
          <w:bCs/>
          <w:sz w:val="32"/>
          <w:szCs w:val="32"/>
        </w:rPr>
        <w:cr/>
      </w:r>
      <w:r>
        <w:rPr>
          <w:rFonts w:hint="eastAsia" w:eastAsia="仿宋_GB2312"/>
          <w:bCs/>
          <w:sz w:val="32"/>
          <w:szCs w:val="32"/>
          <w:lang w:val="en-US" w:eastAsia="zh-CN"/>
        </w:rPr>
        <w:t xml:space="preserve">    </w:t>
      </w:r>
      <w:r>
        <w:rPr>
          <w:rFonts w:hint="eastAsia" w:eastAsia="仿宋_GB2312"/>
          <w:bCs/>
          <w:sz w:val="32"/>
          <w:szCs w:val="32"/>
        </w:rPr>
        <w:t>我单位2024年度部门整体支出数为8767.02万元，其中：</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（1）按支出性质：基本支出1270.42万元，资金的使用方向为我单位人员经费支出1203.60万元,公用经费支出66.82万元；项目支出共计7496.60万元，涉及保障5个项目;</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（2）主要内容(按功能分类):一、一般公共服务支出1130.12万元；二、科学技术支出33.78万元；三、社会保障和就业支出140.30万元；四、节能环保支出6000万元；五、农林水支出1462.82万元；</w:t>
      </w:r>
      <w:r>
        <w:rPr>
          <w:rFonts w:hint="eastAsia" w:eastAsia="仿宋_GB2312"/>
          <w:bCs/>
          <w:sz w:val="32"/>
          <w:szCs w:val="32"/>
        </w:rPr>
        <w:cr/>
      </w:r>
      <w:r>
        <w:rPr>
          <w:rFonts w:hint="eastAsia" w:eastAsia="仿宋_GB2312"/>
          <w:bCs/>
          <w:sz w:val="32"/>
          <w:szCs w:val="32"/>
          <w:lang w:val="en-US" w:eastAsia="zh-CN"/>
        </w:rPr>
        <w:t xml:space="preserve">    </w:t>
      </w:r>
      <w:r>
        <w:rPr>
          <w:rFonts w:hint="eastAsia" w:eastAsia="仿宋_GB2312"/>
          <w:bCs/>
          <w:sz w:val="32"/>
          <w:szCs w:val="32"/>
        </w:rPr>
        <w:t>（3）涉及范围(按经济分类):</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一、工资福利支出1201.64万元。二、商品和服务支出79.54万元。三、对个人和家庭的补助1.96万元。四、资本性支出21.05万元。五、对企业补助7462.83万元。</w:t>
      </w:r>
    </w:p>
    <w:p w14:paraId="53A82040">
      <w:pPr>
        <w:keepNext w:val="0"/>
        <w:keepLines w:val="0"/>
        <w:pageBreakBefore w:val="0"/>
        <w:numPr>
          <w:ilvl w:val="0"/>
          <w:numId w:val="1"/>
        </w:numPr>
        <w:kinsoku/>
        <w:wordWrap/>
        <w:overflowPunct/>
        <w:topLinePunct w:val="0"/>
        <w:autoSpaceDE/>
        <w:autoSpaceDN/>
        <w:bidi w:val="0"/>
        <w:adjustRightInd/>
        <w:snapToGrid w:val="0"/>
        <w:spacing w:line="560" w:lineRule="exact"/>
        <w:ind w:left="0" w:firstLine="643" w:firstLineChars="200"/>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部门单位整体支出管理及使用情况：</w:t>
      </w:r>
    </w:p>
    <w:p w14:paraId="44F58ADA">
      <w:pPr>
        <w:keepNext w:val="0"/>
        <w:keepLines w:val="0"/>
        <w:pageBreakBefore w:val="0"/>
        <w:numPr>
          <w:ilvl w:val="0"/>
          <w:numId w:val="2"/>
        </w:numPr>
        <w:kinsoku/>
        <w:wordWrap/>
        <w:overflowPunct/>
        <w:topLinePunct w:val="0"/>
        <w:autoSpaceDE/>
        <w:autoSpaceDN/>
        <w:bidi w:val="0"/>
        <w:adjustRightInd/>
        <w:spacing w:line="560" w:lineRule="exact"/>
        <w:ind w:left="0" w:firstLine="640" w:firstLineChars="200"/>
        <w:jc w:val="left"/>
        <w:rPr>
          <w:rFonts w:hint="eastAsia" w:eastAsia="仿宋_GB2312"/>
          <w:bCs/>
          <w:sz w:val="32"/>
          <w:szCs w:val="32"/>
        </w:rPr>
      </w:pPr>
      <w:r>
        <w:rPr>
          <w:rFonts w:hint="eastAsia" w:eastAsia="仿宋_GB2312"/>
          <w:bCs/>
          <w:sz w:val="32"/>
          <w:szCs w:val="32"/>
        </w:rPr>
        <w:t>部门收入支出总体情况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我单位2024年度全年部门整体收入整体支出8767.02万元，其中：基本支出1270.42万元，项目支出7496.60万元。全年预算执行率为89.72%。</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（二）基本支出和使用情况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2024年我单位部门基本支出年初预算数为1129.21万元，调整后全年预算数为1275.15万元，全年实际支出数1270.42万元，基本支出预算执行率99.63%。其中：</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人员经费年初预算数为1042.84万元，全年预算数为1203.60万元，调整后全年实际支出资金1203.60万元，人员经费预算执行率为100%，主要用于：基本工资、津贴补贴、奖金、绩效工资、机关事业单位基本养老保险缴费、职业年金缴费、职工基本医疗保险缴费、公务员医疗补助缴费、其他社会保障缴费、住房公积金、生活补助等。人员经费支出管理严格按照乌鲁木齐经济技术开发区管理委员会（乌鲁木齐市头屯河区人民政府）办公室人员经费管理制度，根据实际进行申请、支付。</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公用经费年初预算数为86.37万元，调整后全年预算数为71.55万元，全年实际支出资金66.82万元，公用经费预算执行率为93.39%，主要用于：办公费、邮电费、差旅费、培训费、公务接待费、工会经费、福利费。公用经费支出管理严格按照乌鲁木齐经济技术开发区管理委员会（乌鲁木齐市头屯河区人民政府）办公室公用经费管理制度，根据实际支付办理采购，进行支付。</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（三）项目支出管理和使用情况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1．项目资金管理情况</w:t>
      </w:r>
      <w:r>
        <w:rPr>
          <w:rFonts w:hint="eastAsia" w:eastAsia="仿宋_GB2312"/>
          <w:bCs/>
          <w:sz w:val="32"/>
          <w:szCs w:val="32"/>
        </w:rPr>
        <w:cr/>
      </w:r>
      <w:r>
        <w:rPr>
          <w:rFonts w:hint="eastAsia" w:eastAsia="仿宋_GB2312"/>
          <w:bCs/>
          <w:sz w:val="32"/>
          <w:szCs w:val="32"/>
          <w:lang w:val="en-US" w:eastAsia="zh-CN"/>
        </w:rPr>
        <w:t xml:space="preserve">    </w:t>
      </w:r>
      <w:r>
        <w:rPr>
          <w:rFonts w:hint="eastAsia" w:eastAsia="仿宋_GB2312"/>
          <w:bCs/>
          <w:sz w:val="32"/>
          <w:szCs w:val="32"/>
        </w:rPr>
        <w:t>（1）管理制度健全性</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本单位从预算管理、收支管理、资产管理、政府采购管理、基本建设管理、合同管理等方面，健全和完善单位各项管理制度、坚定实施各项内部控制制度；为加强预算管理，规范财务行为，已制定《乌鲁木齐经济技术开发区管理委员会（乌鲁木齐市头屯河区人民政府）办公室预算绩效管理工作实施办法》《乌鲁木齐经济技术开发区管理委员会（乌鲁木齐市头屯河区人民政府）办公室财务管理制度》等健全完整的各项管理制度，有效保障了我单位高效的履行工作职能，较好的促进事业发展。</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（2）项目日常管控情况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一是严把项目入库申报关。严格按照项目管理制度执行，自下而上与自上而下相结合,规范项目申报流程。二是加强项目实施推进。主要领导亲自部署、亲自谋划、亲自推动，压实各方责任，每月制定项目建设及资金支付倒排工期计划，研究解决项目推进、资金拨付等方面问题，加快推进项目建设，确保高质高量完成项目建设和资金支付目标任务。</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2．资金投入及使用情况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2024年单位共计安排项目5个，安排项目预算总金额为8496.60万元，实际支出资金总额为7496.60万元。详细构成如下：</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（1）转移支付资金安排项目：2024年共计下达专项转移资金7462.82万元，全年实际支出资金7462.82万元，预算执行率为100%，共涉及2个项目。</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（2）结转资金安排项目：2024年共计安排结转资金1000万元，全年实际支出资金0万元，预算执行率为0%，共涉及1个项目，此类项目沿用上年绩效目标开展全生命周期绩效管理。</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（3）本级财力安排项目：2024年共计安排本级财力资金33.78万元，全年实际支出资金33.78万元，预算执行率为100%，共涉及2个项目。</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（4）其他资金项目：2024年共计安排其他资金0万元，全年实际支出资金0万元，预算执行率为0%，共涉及0个项目。</w:t>
      </w:r>
      <w:r>
        <w:rPr>
          <w:rFonts w:hint="eastAsia" w:eastAsia="仿宋_GB2312"/>
          <w:bCs/>
          <w:sz w:val="32"/>
          <w:szCs w:val="32"/>
        </w:rPr>
        <w:cr/>
      </w:r>
    </w:p>
    <w:tbl>
      <w:tblPr>
        <w:tblStyle w:val="5"/>
        <w:tblW w:w="10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05"/>
        <w:gridCol w:w="1740"/>
        <w:gridCol w:w="1785"/>
        <w:gridCol w:w="1875"/>
        <w:gridCol w:w="1650"/>
        <w:gridCol w:w="1695"/>
      </w:tblGrid>
      <w:tr w14:paraId="030B2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205" w:type="dxa"/>
            <w:vMerge w:val="restart"/>
            <w:tcBorders>
              <w:top w:val="single" w:color="000000" w:sz="4" w:space="0"/>
              <w:left w:val="single" w:color="000000" w:sz="4" w:space="0"/>
              <w:right w:val="single" w:color="000000" w:sz="4" w:space="0"/>
            </w:tcBorders>
            <w:shd w:val="clear" w:color="F8F9FD" w:fill="F8F9FD"/>
            <w:noWrap/>
            <w:vAlign w:val="center"/>
          </w:tcPr>
          <w:p w14:paraId="0593CAA5">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2024年项目</w:t>
            </w:r>
          </w:p>
        </w:tc>
        <w:tc>
          <w:tcPr>
            <w:tcW w:w="5400" w:type="dxa"/>
            <w:gridSpan w:val="3"/>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36B63095">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资金来源</w:t>
            </w:r>
          </w:p>
        </w:tc>
        <w:tc>
          <w:tcPr>
            <w:tcW w:w="3345" w:type="dxa"/>
            <w:gridSpan w:val="2"/>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0CA36156">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支出数</w:t>
            </w:r>
          </w:p>
        </w:tc>
      </w:tr>
      <w:tr w14:paraId="166A0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205" w:type="dxa"/>
            <w:vMerge w:val="continue"/>
            <w:tcBorders>
              <w:left w:val="single" w:color="000000" w:sz="4" w:space="0"/>
              <w:bottom w:val="single" w:color="000000" w:sz="4" w:space="0"/>
              <w:right w:val="single" w:color="000000" w:sz="4" w:space="0"/>
            </w:tcBorders>
            <w:shd w:val="clear" w:color="F8F9FD" w:fill="F8F9FD"/>
            <w:noWrap/>
            <w:vAlign w:val="center"/>
          </w:tcPr>
          <w:p w14:paraId="3DE4E5E8">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3A76C9A8">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85" w:type="dxa"/>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25DAAC81">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875" w:type="dxa"/>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1C040AF7">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1650" w:type="dxa"/>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2542190E">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95" w:type="dxa"/>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162F42E8">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r>
      <w:tr w14:paraId="1EB35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205" w:type="dxa"/>
            <w:tcBorders>
              <w:top w:val="single" w:color="000000" w:sz="4" w:space="0"/>
              <w:left w:val="single" w:color="000000" w:sz="4" w:space="0"/>
              <w:bottom w:val="single" w:color="000000" w:sz="4" w:space="0"/>
              <w:right w:val="single" w:color="000000" w:sz="4" w:space="0"/>
            </w:tcBorders>
            <w:shd w:val="clear" w:color="F8F9FD" w:fill="F8F9FD"/>
            <w:noWrap/>
            <w:vAlign w:val="center"/>
          </w:tcPr>
          <w:p w14:paraId="450C3145">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1EAB">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84,966,018.00</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C369">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10,000,000.00</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9CB6">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74,966,018.00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AB8F">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74,966,018.00</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E081">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74,966,018.00</w:t>
            </w:r>
          </w:p>
        </w:tc>
      </w:tr>
      <w:tr w14:paraId="51E0B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A3B8E">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信息化专项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F3EA">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321,608.00</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626B6">
            <w:pPr>
              <w:keepNext w:val="0"/>
              <w:keepLines w:val="0"/>
              <w:pageBreakBefore w:val="0"/>
              <w:kinsoku/>
              <w:wordWrap/>
              <w:overflowPunct/>
              <w:topLinePunct w:val="0"/>
              <w:autoSpaceDE/>
              <w:autoSpaceDN/>
              <w:bidi w:val="0"/>
              <w:adjustRightInd/>
              <w:spacing w:line="560" w:lineRule="exact"/>
              <w:ind w:left="0" w:firstLine="440" w:firstLineChars="200"/>
              <w:jc w:val="right"/>
              <w:rPr>
                <w:rFonts w:hint="eastAsia" w:ascii="宋体" w:hAnsi="宋体" w:eastAsia="宋体" w:cs="宋体"/>
                <w:i w:val="0"/>
                <w:iCs w:val="0"/>
                <w:color w:val="000000"/>
                <w:sz w:val="22"/>
                <w:szCs w:val="22"/>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A14A">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321,608.00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FFBE">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321,608.00</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6D21">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321,608.00</w:t>
            </w:r>
          </w:p>
        </w:tc>
      </w:tr>
      <w:tr w14:paraId="73F33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6FFC">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信息化专项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A365">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16,150.00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4ACA">
            <w:pPr>
              <w:keepNext w:val="0"/>
              <w:keepLines w:val="0"/>
              <w:pageBreakBefore w:val="0"/>
              <w:kinsoku/>
              <w:wordWrap/>
              <w:overflowPunct/>
              <w:topLinePunct w:val="0"/>
              <w:autoSpaceDE/>
              <w:autoSpaceDN/>
              <w:bidi w:val="0"/>
              <w:adjustRightInd/>
              <w:spacing w:line="560" w:lineRule="exact"/>
              <w:ind w:left="0" w:firstLine="440" w:firstLineChars="200"/>
              <w:jc w:val="right"/>
              <w:rPr>
                <w:rFonts w:hint="eastAsia" w:ascii="宋体" w:hAnsi="宋体" w:eastAsia="宋体" w:cs="宋体"/>
                <w:i w:val="0"/>
                <w:iCs w:val="0"/>
                <w:color w:val="000000"/>
                <w:sz w:val="22"/>
                <w:szCs w:val="22"/>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602D">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16,150.00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4EBF">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16,150.00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DBA0">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16,150.00</w:t>
            </w:r>
          </w:p>
        </w:tc>
      </w:tr>
      <w:tr w14:paraId="1D7E0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439F">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生态环境分局专项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22C5">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60,000,000.00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28EA">
            <w:pPr>
              <w:keepNext w:val="0"/>
              <w:keepLines w:val="0"/>
              <w:pageBreakBefore w:val="0"/>
              <w:kinsoku/>
              <w:wordWrap/>
              <w:overflowPunct/>
              <w:topLinePunct w:val="0"/>
              <w:autoSpaceDE/>
              <w:autoSpaceDN/>
              <w:bidi w:val="0"/>
              <w:adjustRightInd/>
              <w:spacing w:line="560" w:lineRule="exact"/>
              <w:ind w:left="0" w:firstLine="440" w:firstLineChars="200"/>
              <w:jc w:val="right"/>
              <w:rPr>
                <w:rFonts w:hint="eastAsia" w:ascii="宋体" w:hAnsi="宋体" w:eastAsia="宋体" w:cs="宋体"/>
                <w:i w:val="0"/>
                <w:iCs w:val="0"/>
                <w:color w:val="000000"/>
                <w:sz w:val="22"/>
                <w:szCs w:val="22"/>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CBF1">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60,000,000.00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725F">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60,000,000.00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64E9">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60,000,000.00</w:t>
            </w:r>
          </w:p>
        </w:tc>
      </w:tr>
      <w:tr w14:paraId="529D4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F87E">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金融办专项业务费</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7AE4">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14,628,260.00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96A6">
            <w:pPr>
              <w:keepNext w:val="0"/>
              <w:keepLines w:val="0"/>
              <w:pageBreakBefore w:val="0"/>
              <w:kinsoku/>
              <w:wordWrap/>
              <w:overflowPunct/>
              <w:topLinePunct w:val="0"/>
              <w:autoSpaceDE/>
              <w:autoSpaceDN/>
              <w:bidi w:val="0"/>
              <w:adjustRightInd/>
              <w:spacing w:line="560" w:lineRule="exact"/>
              <w:ind w:left="0" w:firstLine="440" w:firstLineChars="200"/>
              <w:jc w:val="right"/>
              <w:rPr>
                <w:rFonts w:hint="eastAsia" w:ascii="宋体" w:hAnsi="宋体" w:eastAsia="宋体" w:cs="宋体"/>
                <w:i w:val="0"/>
                <w:iCs w:val="0"/>
                <w:color w:val="000000"/>
                <w:sz w:val="22"/>
                <w:szCs w:val="22"/>
                <w:u w:val="none"/>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B5E9">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14,628,260.00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2DD9">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14,628,260.00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1353">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14,628,260.00</w:t>
            </w:r>
          </w:p>
        </w:tc>
      </w:tr>
      <w:tr w14:paraId="0528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1C64">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金融中心保证金</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1B1B">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07C9">
            <w:pPr>
              <w:keepNext w:val="0"/>
              <w:keepLines w:val="0"/>
              <w:pageBreakBefore w:val="0"/>
              <w:widowControl/>
              <w:suppressLineNumbers w:val="0"/>
              <w:kinsoku/>
              <w:wordWrap/>
              <w:overflowPunct/>
              <w:topLinePunct w:val="0"/>
              <w:autoSpaceDE/>
              <w:autoSpaceDN/>
              <w:bidi w:val="0"/>
              <w:adjustRightInd/>
              <w:spacing w:line="560" w:lineRule="exact"/>
              <w:ind w:left="0" w:firstLine="440" w:firstLineChars="2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10,000,000.00</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18F7">
            <w:pPr>
              <w:keepNext w:val="0"/>
              <w:keepLines w:val="0"/>
              <w:pageBreakBefore w:val="0"/>
              <w:kinsoku/>
              <w:wordWrap/>
              <w:overflowPunct/>
              <w:topLinePunct w:val="0"/>
              <w:autoSpaceDE/>
              <w:autoSpaceDN/>
              <w:bidi w:val="0"/>
              <w:adjustRightInd/>
              <w:spacing w:line="560" w:lineRule="exact"/>
              <w:ind w:left="0" w:firstLine="440" w:firstLineChars="200"/>
              <w:jc w:val="right"/>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EC5C">
            <w:pPr>
              <w:keepNext w:val="0"/>
              <w:keepLines w:val="0"/>
              <w:pageBreakBefore w:val="0"/>
              <w:kinsoku/>
              <w:wordWrap/>
              <w:overflowPunct/>
              <w:topLinePunct w:val="0"/>
              <w:autoSpaceDE/>
              <w:autoSpaceDN/>
              <w:bidi w:val="0"/>
              <w:adjustRightInd/>
              <w:spacing w:line="560" w:lineRule="exact"/>
              <w:ind w:left="0" w:firstLine="440" w:firstLineChars="200"/>
              <w:jc w:val="right"/>
              <w:rPr>
                <w:rFonts w:hint="eastAsia" w:ascii="宋体" w:hAnsi="宋体" w:eastAsia="宋体" w:cs="宋体"/>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843D">
            <w:pPr>
              <w:keepNext w:val="0"/>
              <w:keepLines w:val="0"/>
              <w:pageBreakBefore w:val="0"/>
              <w:kinsoku/>
              <w:wordWrap/>
              <w:overflowPunct/>
              <w:topLinePunct w:val="0"/>
              <w:autoSpaceDE/>
              <w:autoSpaceDN/>
              <w:bidi w:val="0"/>
              <w:adjustRightInd/>
              <w:spacing w:line="560" w:lineRule="exact"/>
              <w:ind w:left="0" w:firstLine="440" w:firstLineChars="200"/>
              <w:jc w:val="right"/>
              <w:rPr>
                <w:rFonts w:hint="eastAsia" w:ascii="宋体" w:hAnsi="宋体" w:eastAsia="宋体" w:cs="宋体"/>
                <w:i w:val="0"/>
                <w:iCs w:val="0"/>
                <w:color w:val="000000"/>
                <w:sz w:val="22"/>
                <w:szCs w:val="22"/>
                <w:u w:val="none"/>
              </w:rPr>
            </w:pPr>
          </w:p>
        </w:tc>
      </w:tr>
    </w:tbl>
    <w:p w14:paraId="7E31E0B5">
      <w:pPr>
        <w:keepNext w:val="0"/>
        <w:keepLines w:val="0"/>
        <w:pageBreakBefore w:val="0"/>
        <w:numPr>
          <w:ilvl w:val="0"/>
          <w:numId w:val="0"/>
        </w:numPr>
        <w:kinsoku/>
        <w:wordWrap/>
        <w:overflowPunct/>
        <w:topLinePunct w:val="0"/>
        <w:autoSpaceDE/>
        <w:autoSpaceDN/>
        <w:bidi w:val="0"/>
        <w:adjustRightInd/>
        <w:spacing w:line="560" w:lineRule="exact"/>
        <w:ind w:left="319" w:leftChars="152" w:firstLine="3200" w:firstLineChars="1000"/>
        <w:jc w:val="left"/>
        <w:rPr>
          <w:rFonts w:hint="eastAsia" w:eastAsia="仿宋_GB2312"/>
          <w:bCs/>
          <w:sz w:val="32"/>
          <w:szCs w:val="32"/>
        </w:rPr>
      </w:pPr>
    </w:p>
    <w:p w14:paraId="0A0ED49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left"/>
        <w:rPr>
          <w:rFonts w:hint="eastAsia" w:eastAsia="仿宋_GB2312"/>
          <w:bCs/>
          <w:sz w:val="32"/>
          <w:szCs w:val="32"/>
        </w:rPr>
      </w:pPr>
      <w:r>
        <w:rPr>
          <w:rFonts w:hint="eastAsia" w:eastAsia="仿宋_GB2312"/>
          <w:bCs/>
          <w:sz w:val="32"/>
          <w:szCs w:val="32"/>
        </w:rPr>
        <w:t>3．资金使用合规性和安全性</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项目资金使用严格按照单位审批权限相关专项资金管理办法要求执行项目资金，实行专账核算、逐级审批；认真落实项目资金的使用各项管理制度，确保专款专用，及时拨付到位。各项目资金预算编制依据充分，预算编制准确，资金不存在截留、挪用，支付审批合规、不存在用途改变、范围超支和虚列项目支出等情况。在本年度各级审计和财政监督检查中未发现资金使用合规性问题</w:t>
      </w:r>
      <w:r>
        <w:rPr>
          <w:rFonts w:hint="eastAsia" w:eastAsia="仿宋_GB2312"/>
          <w:bCs/>
          <w:sz w:val="32"/>
          <w:szCs w:val="32"/>
          <w:lang w:eastAsia="zh-CN"/>
        </w:rPr>
        <w:t>。</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（四）其中重要支出事项</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1．</w:t>
      </w:r>
      <w:r>
        <w:rPr>
          <w:rFonts w:hint="eastAsia" w:eastAsia="仿宋_GB2312"/>
          <w:bCs/>
          <w:sz w:val="32"/>
          <w:szCs w:val="32"/>
          <w:lang w:eastAsia="zh-CN"/>
        </w:rPr>
        <w:t>“</w:t>
      </w:r>
      <w:r>
        <w:rPr>
          <w:rFonts w:hint="eastAsia" w:eastAsia="仿宋_GB2312"/>
          <w:bCs/>
          <w:sz w:val="32"/>
          <w:szCs w:val="32"/>
        </w:rPr>
        <w:t>三公</w:t>
      </w:r>
      <w:r>
        <w:rPr>
          <w:rFonts w:hint="eastAsia" w:eastAsia="仿宋_GB2312"/>
          <w:bCs/>
          <w:sz w:val="32"/>
          <w:szCs w:val="32"/>
          <w:lang w:eastAsia="zh-CN"/>
        </w:rPr>
        <w:t>”</w:t>
      </w:r>
      <w:r>
        <w:rPr>
          <w:rFonts w:hint="eastAsia" w:eastAsia="仿宋_GB2312"/>
          <w:bCs/>
          <w:sz w:val="32"/>
          <w:szCs w:val="32"/>
        </w:rPr>
        <w:t>经费控制情况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我单位坚决贯彻落实中央、自治区、乌鲁木齐市本级厉行勤俭办公的工作要求，提倡本单位全体干部职工，勤俭节约，切实降低行政运行成本，确保了每年</w:t>
      </w:r>
      <w:r>
        <w:rPr>
          <w:rFonts w:hint="eastAsia" w:eastAsia="仿宋_GB2312"/>
          <w:bCs/>
          <w:sz w:val="32"/>
          <w:szCs w:val="32"/>
          <w:lang w:eastAsia="zh-CN"/>
        </w:rPr>
        <w:t>“三公”经费</w:t>
      </w:r>
      <w:r>
        <w:rPr>
          <w:rFonts w:hint="eastAsia" w:eastAsia="仿宋_GB2312"/>
          <w:bCs/>
          <w:sz w:val="32"/>
          <w:szCs w:val="32"/>
        </w:rPr>
        <w:t>只减不增。我单位2024年度</w:t>
      </w:r>
      <w:r>
        <w:rPr>
          <w:rFonts w:hint="eastAsia" w:eastAsia="仿宋_GB2312"/>
          <w:bCs/>
          <w:sz w:val="32"/>
          <w:szCs w:val="32"/>
          <w:lang w:eastAsia="zh-CN"/>
        </w:rPr>
        <w:t>“三公”经费</w:t>
      </w:r>
      <w:r>
        <w:rPr>
          <w:rFonts w:hint="eastAsia" w:eastAsia="仿宋_GB2312"/>
          <w:bCs/>
          <w:sz w:val="32"/>
          <w:szCs w:val="32"/>
        </w:rPr>
        <w:t>年初预算为0.52万元，实际支出0.52万元，较上一年减少2.28万元，</w:t>
      </w:r>
      <w:r>
        <w:rPr>
          <w:rFonts w:hint="eastAsia" w:eastAsia="仿宋_GB2312"/>
          <w:bCs/>
          <w:sz w:val="32"/>
          <w:szCs w:val="32"/>
          <w:lang w:eastAsia="zh-CN"/>
        </w:rPr>
        <w:t>“三公”经费</w:t>
      </w:r>
      <w:r>
        <w:rPr>
          <w:rFonts w:hint="eastAsia" w:eastAsia="仿宋_GB2312"/>
          <w:bCs/>
          <w:sz w:val="32"/>
          <w:szCs w:val="32"/>
        </w:rPr>
        <w:t>下降81.37%，“三公”经费支出控制较好。其中：</w:t>
      </w:r>
    </w:p>
    <w:p w14:paraId="4A9E7911">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left"/>
        <w:rPr>
          <w:rFonts w:hint="eastAsia" w:eastAsia="仿宋_GB2312"/>
          <w:bCs/>
          <w:sz w:val="32"/>
          <w:szCs w:val="32"/>
        </w:rPr>
      </w:pPr>
      <w:r>
        <w:rPr>
          <w:rFonts w:hint="eastAsia" w:eastAsia="仿宋_GB2312"/>
          <w:bCs/>
          <w:sz w:val="32"/>
          <w:szCs w:val="32"/>
        </w:rPr>
        <w:t>（1）无因公出国（境）情况；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（2）无公务用车购置及运行维护情况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（3）公务接待费年初预算为0.52万元，实际支出0.52万元，较上一年增加0.32万元，主要原因是本年度我单位接待人数，批次增加。</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 xml:space="preserve">2．政府采购执行情况 </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2024年年初，我单位政府采购预算5万元，其中：政府采购货物预算5万元，政府采购工程预算0万元，政府采购服务预算0万元；面向中小企业预留政府采购项目预算金额5万元，小微企业预留政府采购项目预算金额5万元。</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截止2024年末，年我单位政府采购统计数为740.83万元，其中：政府采购货物统计数521.83万元，政府采购工程统计数0万元，政府采购服务统计数219万元。政府采购授予中小企业合同金额为740.83万元，其中：授予小微企业合同金额为60.63万元。</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 xml:space="preserve">3．国有资产占用使用情况 </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截至2024年底，乌鲁木齐经济技术开发区管理委员会（乌鲁木齐市头屯河区人民政府）办公室单位及下属各预算单位占用使用国有资产总体情况为：</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lang w:eastAsia="zh-CN"/>
        </w:rPr>
        <w:t>（</w:t>
      </w:r>
      <w:r>
        <w:rPr>
          <w:rFonts w:hint="eastAsia" w:eastAsia="仿宋_GB2312"/>
          <w:bCs/>
          <w:sz w:val="32"/>
          <w:szCs w:val="32"/>
          <w:lang w:val="en-US" w:eastAsia="zh-CN"/>
        </w:rPr>
        <w:t>1</w:t>
      </w:r>
      <w:r>
        <w:rPr>
          <w:rFonts w:hint="eastAsia" w:eastAsia="仿宋_GB2312"/>
          <w:bCs/>
          <w:sz w:val="32"/>
          <w:szCs w:val="32"/>
          <w:lang w:eastAsia="zh-CN"/>
        </w:rPr>
        <w:t>）</w:t>
      </w:r>
      <w:r>
        <w:rPr>
          <w:rFonts w:hint="eastAsia" w:eastAsia="仿宋_GB2312"/>
          <w:bCs/>
          <w:sz w:val="32"/>
          <w:szCs w:val="32"/>
        </w:rPr>
        <w:t>房屋58039.19平方米，价值9571.48万元。</w:t>
      </w:r>
    </w:p>
    <w:p w14:paraId="3AF30AFB">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left"/>
        <w:rPr>
          <w:rFonts w:eastAsia="仿宋_GB2312"/>
          <w:bCs/>
          <w:sz w:val="32"/>
          <w:szCs w:val="32"/>
        </w:rPr>
      </w:pPr>
      <w:r>
        <w:rPr>
          <w:rFonts w:hint="eastAsia" w:eastAsia="仿宋_GB2312"/>
          <w:bCs/>
          <w:sz w:val="32"/>
          <w:szCs w:val="32"/>
          <w:lang w:eastAsia="zh-CN"/>
        </w:rPr>
        <w:t>（</w:t>
      </w:r>
      <w:r>
        <w:rPr>
          <w:rFonts w:hint="eastAsia" w:eastAsia="仿宋_GB2312"/>
          <w:bCs/>
          <w:sz w:val="32"/>
          <w:szCs w:val="32"/>
          <w:lang w:val="en-US" w:eastAsia="zh-CN"/>
        </w:rPr>
        <w:t>2</w:t>
      </w:r>
      <w:r>
        <w:rPr>
          <w:rFonts w:hint="eastAsia" w:eastAsia="仿宋_GB2312"/>
          <w:bCs/>
          <w:sz w:val="32"/>
          <w:szCs w:val="32"/>
          <w:lang w:eastAsia="zh-CN"/>
        </w:rPr>
        <w:t>）</w:t>
      </w:r>
      <w:r>
        <w:rPr>
          <w:rFonts w:hint="eastAsia" w:eastAsia="仿宋_GB2312"/>
          <w:bCs/>
          <w:sz w:val="32"/>
          <w:szCs w:val="32"/>
        </w:rPr>
        <w:t>车辆25辆，价值685.68万元；其中：一般公务用车0辆，价值0.00万元；执法执勤用车0 辆，价值0.00万元；其他车辆25辆，价值685.68万元。</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lang w:eastAsia="zh-CN"/>
        </w:rPr>
        <w:t>（</w:t>
      </w:r>
      <w:r>
        <w:rPr>
          <w:rFonts w:hint="eastAsia" w:eastAsia="仿宋_GB2312"/>
          <w:bCs/>
          <w:sz w:val="32"/>
          <w:szCs w:val="32"/>
          <w:lang w:val="en-US" w:eastAsia="zh-CN"/>
        </w:rPr>
        <w:t>3</w:t>
      </w:r>
      <w:r>
        <w:rPr>
          <w:rFonts w:hint="eastAsia" w:eastAsia="仿宋_GB2312"/>
          <w:bCs/>
          <w:sz w:val="32"/>
          <w:szCs w:val="32"/>
          <w:lang w:eastAsia="zh-CN"/>
        </w:rPr>
        <w:t>）</w:t>
      </w:r>
      <w:r>
        <w:rPr>
          <w:rFonts w:hint="eastAsia" w:eastAsia="仿宋_GB2312"/>
          <w:bCs/>
          <w:sz w:val="32"/>
          <w:szCs w:val="32"/>
        </w:rPr>
        <w:t>办公家具价值448.11万元。</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lang w:eastAsia="zh-CN"/>
        </w:rPr>
        <w:t>（</w:t>
      </w:r>
      <w:r>
        <w:rPr>
          <w:rFonts w:hint="eastAsia" w:eastAsia="仿宋_GB2312"/>
          <w:bCs/>
          <w:sz w:val="32"/>
          <w:szCs w:val="32"/>
          <w:lang w:val="en-US" w:eastAsia="zh-CN"/>
        </w:rPr>
        <w:t>4</w:t>
      </w:r>
      <w:r>
        <w:rPr>
          <w:rFonts w:hint="eastAsia" w:eastAsia="仿宋_GB2312"/>
          <w:bCs/>
          <w:sz w:val="32"/>
          <w:szCs w:val="32"/>
          <w:lang w:eastAsia="zh-CN"/>
        </w:rPr>
        <w:t>）</w:t>
      </w:r>
      <w:r>
        <w:rPr>
          <w:rFonts w:hint="eastAsia" w:eastAsia="仿宋_GB2312"/>
          <w:bCs/>
          <w:sz w:val="32"/>
          <w:szCs w:val="32"/>
        </w:rPr>
        <w:t>其他资产价值3598.80万元。</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单位价值50万元以上大型设备10台，单位价值100万元以上大型设备4台。</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2025年单位预算未安排购置车辆经费，安排购置50万元以上大型设备0台，单位价值100万元以上大型设备0台。</w:t>
      </w:r>
    </w:p>
    <w:p w14:paraId="5FAA5D1E">
      <w:pPr>
        <w:keepNext w:val="0"/>
        <w:keepLines w:val="0"/>
        <w:pageBreakBefore w:val="0"/>
        <w:numPr>
          <w:ilvl w:val="0"/>
          <w:numId w:val="1"/>
        </w:numPr>
        <w:kinsoku/>
        <w:wordWrap/>
        <w:overflowPunct/>
        <w:topLinePunct w:val="0"/>
        <w:autoSpaceDE/>
        <w:autoSpaceDN/>
        <w:bidi w:val="0"/>
        <w:adjustRightInd/>
        <w:snapToGrid w:val="0"/>
        <w:spacing w:line="560" w:lineRule="exact"/>
        <w:ind w:left="0" w:firstLine="643" w:firstLineChars="200"/>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部门单位整体支出绩效分析：</w:t>
      </w:r>
    </w:p>
    <w:p w14:paraId="239A42C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eastAsia="仿宋_GB2312"/>
          <w:bCs/>
          <w:sz w:val="32"/>
          <w:szCs w:val="32"/>
        </w:rPr>
      </w:pPr>
      <w:r>
        <w:rPr>
          <w:rFonts w:hint="eastAsia" w:eastAsia="仿宋_GB2312"/>
          <w:bCs/>
          <w:sz w:val="32"/>
          <w:szCs w:val="32"/>
        </w:rPr>
        <w:t>我单位2024年度部门整体支出绩效目标，围绕部门职能、中长期规划、年度工作计划、重点工作任务及要求，确定年度部门整体支出的绩效目标，按照确定的部门职责履行情况、部门运行有效情况及部门职能设置具体的指标。拟通过绩效评价分析部门整体支出对单位基本运转及单位职能履职的保障作用，总结经验做法，找出资金使用和管理中的薄弱环节，进一步加强预算管理，提高财政资金使用效益，为部门科学决策、规范管理提供参考。</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根据部门单位单位整体支出自评表显示，共设置一级指标2个，二级指标2个，三级指标4个，总体指标完成率为100%，详细三级指标完成情况如下：</w:t>
      </w:r>
    </w:p>
    <w:p w14:paraId="322D5A2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（一）指标一：</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控制率</w:t>
      </w:r>
    </w:p>
    <w:p w14:paraId="7F805C1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控制率，根据年初预算批复，预期指标是100%</w:t>
      </w:r>
      <w:r>
        <w:rPr>
          <w:rFonts w:hint="eastAsia" w:ascii="仿宋_GB2312" w:hAnsi="仿宋_GB2312" w:eastAsia="仿宋_GB2312" w:cs="仿宋_GB2312"/>
          <w:sz w:val="32"/>
          <w:szCs w:val="32"/>
          <w:lang w:eastAsia="zh-CN"/>
        </w:rPr>
        <w:t>。“三公”经费作为政府财政支出的重要组成部分，其重要性主要体现在规范财政资金使用、提升政府透明度、强化廉政建设及推动服务性政府建设。</w:t>
      </w:r>
    </w:p>
    <w:p w14:paraId="5BEC13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年中绩效运行监控</w:t>
      </w:r>
      <w:r>
        <w:rPr>
          <w:rFonts w:hint="eastAsia" w:ascii="仿宋_GB2312" w:hAnsi="仿宋_GB2312" w:eastAsia="仿宋_GB2312" w:cs="仿宋_GB2312"/>
          <w:sz w:val="32"/>
          <w:szCs w:val="32"/>
          <w:lang w:eastAsia="zh-CN"/>
        </w:rPr>
        <w:t>时，</w:t>
      </w:r>
      <w:r>
        <w:rPr>
          <w:rFonts w:hint="eastAsia" w:ascii="仿宋_GB2312" w:hAnsi="仿宋_GB2312" w:eastAsia="仿宋_GB2312" w:cs="仿宋_GB2312"/>
          <w:sz w:val="32"/>
          <w:szCs w:val="32"/>
        </w:rPr>
        <w:t>完成值是50%，</w:t>
      </w:r>
      <w:r>
        <w:rPr>
          <w:rFonts w:hint="eastAsia" w:ascii="仿宋_GB2312" w:hAnsi="仿宋_GB2312" w:eastAsia="仿宋_GB2312" w:cs="仿宋_GB2312"/>
          <w:sz w:val="32"/>
          <w:szCs w:val="32"/>
          <w:lang w:eastAsia="zh-CN"/>
        </w:rPr>
        <w:t>已达到监控节点比率。</w:t>
      </w:r>
    </w:p>
    <w:p w14:paraId="2AE968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截至此次评价时间节点，</w:t>
      </w:r>
      <w:r>
        <w:rPr>
          <w:rFonts w:hint="eastAsia" w:ascii="仿宋_GB2312" w:hAnsi="仿宋_GB2312" w:eastAsia="仿宋_GB2312" w:cs="仿宋_GB2312"/>
          <w:sz w:val="32"/>
          <w:szCs w:val="32"/>
        </w:rPr>
        <w:t>根据单位资金实际支付情况，本次评价实际完成值是100%，指标完成率是100%，达到预期目标。</w:t>
      </w:r>
      <w:r>
        <w:rPr>
          <w:rFonts w:hint="eastAsia" w:ascii="仿宋_GB2312" w:hAnsi="仿宋_GB2312" w:eastAsia="仿宋_GB2312" w:cs="仿宋_GB2312"/>
          <w:sz w:val="32"/>
          <w:szCs w:val="32"/>
          <w:lang w:eastAsia="zh-CN"/>
        </w:rPr>
        <w:t>我单位产生公务接待费一笔，金额为</w:t>
      </w:r>
      <w:r>
        <w:rPr>
          <w:rFonts w:hint="eastAsia" w:ascii="仿宋_GB2312" w:hAnsi="仿宋_GB2312" w:eastAsia="仿宋_GB2312" w:cs="仿宋_GB2312"/>
          <w:sz w:val="32"/>
          <w:szCs w:val="32"/>
          <w:lang w:val="en-US" w:eastAsia="zh-CN"/>
        </w:rPr>
        <w:t>1860元。</w:t>
      </w:r>
      <w:r>
        <w:rPr>
          <w:rFonts w:hint="eastAsia" w:ascii="仿宋_GB2312" w:hAnsi="仿宋_GB2312" w:eastAsia="仿宋_GB2312" w:cs="仿宋_GB2312"/>
          <w:sz w:val="32"/>
          <w:szCs w:val="32"/>
          <w:lang w:eastAsia="zh-CN"/>
        </w:rPr>
        <w:t>我单位严格加强了预算控制，财政资金使用率明显提高，在压缩行政开支、规范财政资金使用方面也取得一定成效，该指标无偏差。</w:t>
      </w:r>
    </w:p>
    <w:p w14:paraId="4B625E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（二）指标二：保障区委办政府办工作正常运转</w:t>
      </w:r>
    </w:p>
    <w:p w14:paraId="528B4D9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保障区委办政府办工作正常运转，根据2024年工作计划，预期指标是100%</w:t>
      </w:r>
      <w:r>
        <w:rPr>
          <w:rFonts w:hint="eastAsia" w:ascii="仿宋_GB2312" w:hAnsi="仿宋_GB2312" w:eastAsia="仿宋_GB2312" w:cs="仿宋_GB2312"/>
          <w:sz w:val="32"/>
          <w:szCs w:val="32"/>
          <w:lang w:eastAsia="zh-CN"/>
        </w:rPr>
        <w:t>。该指标用于反应区委办政府办除“三公”经费外的其他日常工作情况。</w:t>
      </w:r>
    </w:p>
    <w:p w14:paraId="5CFA4F2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年中绩效运行监控</w:t>
      </w:r>
      <w:r>
        <w:rPr>
          <w:rFonts w:hint="eastAsia" w:ascii="仿宋_GB2312" w:hAnsi="仿宋_GB2312" w:eastAsia="仿宋_GB2312" w:cs="仿宋_GB2312"/>
          <w:sz w:val="32"/>
          <w:szCs w:val="32"/>
          <w:lang w:eastAsia="zh-CN"/>
        </w:rPr>
        <w:t>时，</w:t>
      </w:r>
      <w:r>
        <w:rPr>
          <w:rFonts w:hint="eastAsia" w:ascii="仿宋_GB2312" w:hAnsi="仿宋_GB2312" w:eastAsia="仿宋_GB2312" w:cs="仿宋_GB2312"/>
          <w:sz w:val="32"/>
          <w:szCs w:val="32"/>
        </w:rPr>
        <w:t>完成值是50%，</w:t>
      </w:r>
      <w:r>
        <w:rPr>
          <w:rFonts w:hint="eastAsia" w:ascii="仿宋_GB2312" w:hAnsi="仿宋_GB2312" w:eastAsia="仿宋_GB2312" w:cs="仿宋_GB2312"/>
          <w:sz w:val="32"/>
          <w:szCs w:val="32"/>
          <w:lang w:eastAsia="zh-CN"/>
        </w:rPr>
        <w:t>已达到监控节点比率。</w:t>
      </w:r>
    </w:p>
    <w:p w14:paraId="4F9BC5F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截至此次评价时间节点，</w:t>
      </w:r>
      <w:r>
        <w:rPr>
          <w:rFonts w:hint="eastAsia" w:ascii="仿宋_GB2312" w:hAnsi="仿宋_GB2312" w:eastAsia="仿宋_GB2312" w:cs="仿宋_GB2312"/>
          <w:sz w:val="32"/>
          <w:szCs w:val="32"/>
        </w:rPr>
        <w:t>根据2024年工作总结，本次评价实际完成值是100%，指标完成率是100%，达到预期目标</w:t>
      </w:r>
      <w:r>
        <w:rPr>
          <w:rFonts w:hint="eastAsia" w:ascii="仿宋_GB2312" w:hAnsi="仿宋_GB2312" w:eastAsia="仿宋_GB2312" w:cs="仿宋_GB2312"/>
          <w:sz w:val="32"/>
          <w:szCs w:val="32"/>
          <w:lang w:eastAsia="zh-CN"/>
        </w:rPr>
        <w:t>。有效协调了我单位日常工作，全面了解了全区维护稳定、经济发展和城市建设等情况，完成了会议筹备、组织和服务工作，并负责各级领导来我区进行公务活动的接待服务。</w:t>
      </w:r>
    </w:p>
    <w:p w14:paraId="4B2EA43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（三）指标三：群众困难诉求办理及时率</w:t>
      </w:r>
    </w:p>
    <w:p w14:paraId="2A56F26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群众困难诉求办理及时率，根据2024年工作计划，预期指标是大于等于90%</w:t>
      </w:r>
      <w:r>
        <w:rPr>
          <w:rFonts w:hint="eastAsia" w:ascii="仿宋_GB2312" w:hAnsi="仿宋_GB2312" w:eastAsia="仿宋_GB2312" w:cs="仿宋_GB2312"/>
          <w:sz w:val="32"/>
          <w:szCs w:val="32"/>
          <w:lang w:eastAsia="zh-CN"/>
        </w:rPr>
        <w:t>。该指标的设立用于反应政府工作的科学化、规范化、透明化，推动政府治理能力提升。</w:t>
      </w:r>
    </w:p>
    <w:p w14:paraId="2E006C7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年中绩效运行监控</w:t>
      </w:r>
      <w:r>
        <w:rPr>
          <w:rFonts w:hint="eastAsia" w:ascii="仿宋_GB2312" w:hAnsi="仿宋_GB2312" w:eastAsia="仿宋_GB2312" w:cs="仿宋_GB2312"/>
          <w:sz w:val="32"/>
          <w:szCs w:val="32"/>
          <w:lang w:eastAsia="zh-CN"/>
        </w:rPr>
        <w:t>时，</w:t>
      </w:r>
      <w:r>
        <w:rPr>
          <w:rFonts w:hint="eastAsia" w:ascii="仿宋_GB2312" w:hAnsi="仿宋_GB2312" w:eastAsia="仿宋_GB2312" w:cs="仿宋_GB2312"/>
          <w:sz w:val="32"/>
          <w:szCs w:val="32"/>
        </w:rPr>
        <w:t>完成值是50%，</w:t>
      </w:r>
      <w:r>
        <w:rPr>
          <w:rFonts w:hint="eastAsia" w:ascii="仿宋_GB2312" w:hAnsi="仿宋_GB2312" w:eastAsia="仿宋_GB2312" w:cs="仿宋_GB2312"/>
          <w:sz w:val="32"/>
          <w:szCs w:val="32"/>
          <w:lang w:eastAsia="zh-CN"/>
        </w:rPr>
        <w:t>已达到监控节点比率。</w:t>
      </w:r>
    </w:p>
    <w:p w14:paraId="1DD272B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截至此次评价时间节点，</w:t>
      </w:r>
      <w:r>
        <w:rPr>
          <w:rFonts w:hint="eastAsia" w:ascii="仿宋_GB2312" w:hAnsi="仿宋_GB2312" w:eastAsia="仿宋_GB2312" w:cs="仿宋_GB2312"/>
          <w:sz w:val="32"/>
          <w:szCs w:val="32"/>
        </w:rPr>
        <w:t>根据2024年工作总结，本次评价实际完成值是90%，指标完成率是100%，达到预期目标。</w:t>
      </w:r>
      <w:r>
        <w:rPr>
          <w:rFonts w:hint="eastAsia" w:ascii="仿宋_GB2312" w:hAnsi="仿宋_GB2312" w:eastAsia="仿宋_GB2312" w:cs="仿宋_GB2312"/>
          <w:sz w:val="32"/>
          <w:szCs w:val="32"/>
          <w:lang w:eastAsia="zh-CN"/>
        </w:rPr>
        <w:t>优化政民互动、提升政府治理能力、保障决策落实，强化纪律约束，提高了政府部门的工作质量和效率。</w:t>
      </w:r>
    </w:p>
    <w:p w14:paraId="6E52384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（四）指标四：议案提案办理答复率</w:t>
      </w:r>
    </w:p>
    <w:p w14:paraId="746DD4A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议案提案办理答复率，根据2024年工作计划，预期指标是100%</w:t>
      </w:r>
      <w:r>
        <w:rPr>
          <w:rFonts w:hint="eastAsia" w:ascii="仿宋_GB2312" w:hAnsi="仿宋_GB2312" w:eastAsia="仿宋_GB2312" w:cs="仿宋_GB2312"/>
          <w:sz w:val="32"/>
          <w:szCs w:val="32"/>
          <w:lang w:eastAsia="zh-CN"/>
        </w:rPr>
        <w:t>。该指标是用于评估和衡量合理化建议的重要依据，通过议案科系统梳理现有问题，提出具体措施，协调多方利益达成一致意见。</w:t>
      </w:r>
    </w:p>
    <w:p w14:paraId="6E764F6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年中绩效运行监控完成值是50%，</w:t>
      </w:r>
      <w:r>
        <w:rPr>
          <w:rFonts w:hint="eastAsia" w:ascii="仿宋_GB2312" w:hAnsi="仿宋_GB2312" w:eastAsia="仿宋_GB2312" w:cs="仿宋_GB2312"/>
          <w:sz w:val="32"/>
          <w:szCs w:val="32"/>
          <w:lang w:eastAsia="zh-CN"/>
        </w:rPr>
        <w:t>已达到监控节点比率。</w:t>
      </w:r>
    </w:p>
    <w:p w14:paraId="5FEC0E4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eastAsia="仿宋_GB2312"/>
          <w:bCs/>
          <w:sz w:val="32"/>
          <w:szCs w:val="32"/>
        </w:rPr>
      </w:pPr>
      <w:r>
        <w:rPr>
          <w:rFonts w:hint="eastAsia" w:ascii="仿宋_GB2312" w:hAnsi="仿宋_GB2312" w:eastAsia="仿宋_GB2312" w:cs="仿宋_GB2312"/>
          <w:sz w:val="32"/>
          <w:szCs w:val="32"/>
          <w:lang w:eastAsia="zh-CN"/>
        </w:rPr>
        <w:t>截至此次评价时间节点，</w:t>
      </w:r>
      <w:r>
        <w:rPr>
          <w:rFonts w:hint="eastAsia" w:ascii="仿宋_GB2312" w:hAnsi="仿宋_GB2312" w:eastAsia="仿宋_GB2312" w:cs="仿宋_GB2312"/>
          <w:sz w:val="32"/>
          <w:szCs w:val="32"/>
        </w:rPr>
        <w:t>根据2024年工作总结，本次评价实际完成值是100%，指标完成率是100%，达到预期目标</w:t>
      </w:r>
      <w:r>
        <w:rPr>
          <w:rFonts w:hint="eastAsia" w:ascii="仿宋_GB2312" w:hAnsi="仿宋_GB2312" w:eastAsia="仿宋_GB2312" w:cs="仿宋_GB2312"/>
          <w:sz w:val="32"/>
          <w:szCs w:val="32"/>
          <w:lang w:eastAsia="zh-CN"/>
        </w:rPr>
        <w:t>。推动了民主决策、反应了群众诉求、促进了问题解决，利于提出新的解决方案和改进方法。</w:t>
      </w:r>
    </w:p>
    <w:p w14:paraId="685824C3">
      <w:pPr>
        <w:keepNext w:val="0"/>
        <w:keepLines w:val="0"/>
        <w:pageBreakBefore w:val="0"/>
        <w:numPr>
          <w:ilvl w:val="0"/>
          <w:numId w:val="1"/>
        </w:numPr>
        <w:kinsoku/>
        <w:wordWrap/>
        <w:overflowPunct/>
        <w:topLinePunct w:val="0"/>
        <w:autoSpaceDE/>
        <w:autoSpaceDN/>
        <w:bidi w:val="0"/>
        <w:adjustRightInd/>
        <w:snapToGrid w:val="0"/>
        <w:spacing w:line="560" w:lineRule="exact"/>
        <w:ind w:left="0" w:firstLine="643" w:firstLineChars="200"/>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评价结论：</w:t>
      </w:r>
    </w:p>
    <w:p w14:paraId="009E0E3C">
      <w:pPr>
        <w:keepNext w:val="0"/>
        <w:keepLines w:val="0"/>
        <w:pageBreakBefore w:val="0"/>
        <w:kinsoku/>
        <w:wordWrap/>
        <w:overflowPunct/>
        <w:topLinePunct w:val="0"/>
        <w:autoSpaceDE/>
        <w:autoSpaceDN/>
        <w:bidi w:val="0"/>
        <w:adjustRightInd/>
        <w:spacing w:line="560" w:lineRule="exact"/>
        <w:ind w:left="0" w:firstLine="640" w:firstLineChars="200"/>
        <w:jc w:val="left"/>
        <w:rPr>
          <w:rFonts w:eastAsia="仿宋_GB2312"/>
          <w:bCs/>
          <w:sz w:val="32"/>
          <w:szCs w:val="32"/>
        </w:rPr>
      </w:pPr>
      <w:r>
        <w:rPr>
          <w:rFonts w:hint="eastAsia" w:eastAsia="仿宋_GB2312"/>
          <w:bCs/>
          <w:sz w:val="32"/>
          <w:szCs w:val="32"/>
        </w:rPr>
        <w:t>2024年度部门整体支出绩效自评综合得分98.97分，评价结果为“优”。我单位2024年部门履职效果良好，主要体现在：</w:t>
      </w:r>
      <w:r>
        <w:rPr>
          <w:rFonts w:hint="eastAsia" w:eastAsia="仿宋_GB2312"/>
          <w:bCs/>
          <w:sz w:val="32"/>
          <w:szCs w:val="32"/>
        </w:rPr>
        <w:cr/>
      </w:r>
      <w:r>
        <w:rPr>
          <w:rFonts w:hint="eastAsia" w:eastAsia="仿宋_GB2312"/>
          <w:bCs/>
          <w:sz w:val="32"/>
          <w:szCs w:val="32"/>
          <w:lang w:val="en-US" w:eastAsia="zh-CN"/>
        </w:rPr>
        <w:t xml:space="preserve">    </w:t>
      </w:r>
      <w:r>
        <w:rPr>
          <w:rFonts w:hint="eastAsia" w:eastAsia="仿宋_GB2312"/>
          <w:bCs/>
          <w:sz w:val="32"/>
          <w:szCs w:val="32"/>
        </w:rPr>
        <w:t>一是：落实责任，全力以赴做好维护稳定工作。二是：做好区委办、政府办文秘、发展研究和信息督查工作，当好参谋助手。三是：做好综合对接协调工作，发挥办公室中枢运转作用。四是：加强依法行政，提高正度的法制建设水平。五是：规范采购、优化服务，充分发挥后勤保障作用。六是：提升电子政务服务水平，做好人事劳资、财务管理、档案管理等工作。</w:t>
      </w:r>
    </w:p>
    <w:p w14:paraId="4598C3BD">
      <w:pPr>
        <w:keepNext w:val="0"/>
        <w:keepLines w:val="0"/>
        <w:pageBreakBefore w:val="0"/>
        <w:numPr>
          <w:ilvl w:val="0"/>
          <w:numId w:val="1"/>
        </w:numPr>
        <w:kinsoku/>
        <w:wordWrap/>
        <w:overflowPunct/>
        <w:topLinePunct w:val="0"/>
        <w:autoSpaceDE/>
        <w:autoSpaceDN/>
        <w:bidi w:val="0"/>
        <w:adjustRightInd/>
        <w:snapToGrid w:val="0"/>
        <w:spacing w:line="560" w:lineRule="exact"/>
        <w:ind w:left="0" w:firstLine="643" w:firstLineChars="200"/>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存在的主要问题及原因分析：</w:t>
      </w:r>
    </w:p>
    <w:p w14:paraId="6EEB3735">
      <w:pPr>
        <w:keepNext w:val="0"/>
        <w:keepLines w:val="0"/>
        <w:pageBreakBefore w:val="0"/>
        <w:kinsoku/>
        <w:wordWrap/>
        <w:overflowPunct/>
        <w:topLinePunct w:val="0"/>
        <w:autoSpaceDE/>
        <w:autoSpaceDN/>
        <w:bidi w:val="0"/>
        <w:adjustRightInd/>
        <w:spacing w:line="560" w:lineRule="exact"/>
        <w:ind w:left="0" w:firstLine="640" w:firstLineChars="200"/>
        <w:jc w:val="left"/>
        <w:rPr>
          <w:rFonts w:eastAsia="仿宋_GB2312"/>
          <w:bCs/>
          <w:sz w:val="32"/>
          <w:szCs w:val="32"/>
        </w:rPr>
      </w:pPr>
      <w:r>
        <w:rPr>
          <w:rFonts w:hint="eastAsia" w:eastAsia="仿宋_GB2312"/>
          <w:bCs/>
          <w:sz w:val="32"/>
          <w:szCs w:val="32"/>
        </w:rPr>
        <w:t>(一)预算执行存在偏差</w:t>
      </w:r>
      <w:r>
        <w:rPr>
          <w:rFonts w:hint="eastAsia" w:eastAsia="仿宋_GB2312"/>
          <w:bCs/>
          <w:sz w:val="32"/>
          <w:szCs w:val="32"/>
        </w:rPr>
        <w:cr/>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由于项目支出指标到12月份才下达指示，在预算执行中造成个别预算调剂现象。对个别项目资金使用方面预算不够细致，出现实际支出数超出了预算申报数和出现项目资金结金数额多的情况。</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（二）目标设定科学性及评价存在难度</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对于目标设定需要分科室单位分解,汇总后制定整体目标，如何科学整合全单位绩效目标比较困难；目标设定后如何科学设定考核评价标准，特别是对于不能量化的目标如何评价。</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（三）财务管理方面，会计核算还不够细致,对于有些能够细分的工作,未能详细分类核算,绩效评价基础数据不够精准。</w:t>
      </w:r>
    </w:p>
    <w:p w14:paraId="391971F5">
      <w:pPr>
        <w:keepNext w:val="0"/>
        <w:keepLines w:val="0"/>
        <w:pageBreakBefore w:val="0"/>
        <w:numPr>
          <w:ilvl w:val="0"/>
          <w:numId w:val="1"/>
        </w:numPr>
        <w:kinsoku/>
        <w:wordWrap/>
        <w:overflowPunct/>
        <w:topLinePunct w:val="0"/>
        <w:autoSpaceDE/>
        <w:autoSpaceDN/>
        <w:bidi w:val="0"/>
        <w:adjustRightInd/>
        <w:snapToGrid w:val="0"/>
        <w:spacing w:line="560" w:lineRule="exact"/>
        <w:ind w:left="0" w:firstLine="643" w:firstLineChars="200"/>
        <w:rPr>
          <w:rFonts w:ascii="黑体" w:hAnsi="黑体" w:eastAsia="黑体" w:cs="宋体"/>
          <w:b/>
          <w:color w:val="000000" w:themeColor="text1"/>
          <w:sz w:val="32"/>
          <w:szCs w:val="32"/>
          <w:lang w:bidi="ar"/>
          <w14:textFill>
            <w14:solidFill>
              <w14:schemeClr w14:val="tx1"/>
            </w14:solidFill>
          </w14:textFill>
        </w:rPr>
      </w:pPr>
      <w:r>
        <w:rPr>
          <w:rFonts w:hint="eastAsia" w:ascii="黑体" w:hAnsi="黑体" w:eastAsia="黑体" w:cs="宋体"/>
          <w:b/>
          <w:color w:val="000000" w:themeColor="text1"/>
          <w:sz w:val="32"/>
          <w:szCs w:val="32"/>
          <w:lang w:bidi="ar"/>
          <w14:textFill>
            <w14:solidFill>
              <w14:schemeClr w14:val="tx1"/>
            </w14:solidFill>
          </w14:textFill>
        </w:rPr>
        <w:t>改进措施和建议：</w:t>
      </w:r>
    </w:p>
    <w:p w14:paraId="4A32B205">
      <w:pPr>
        <w:keepNext w:val="0"/>
        <w:keepLines w:val="0"/>
        <w:pageBreakBefore w:val="0"/>
        <w:kinsoku/>
        <w:wordWrap/>
        <w:overflowPunct/>
        <w:topLinePunct w:val="0"/>
        <w:autoSpaceDE/>
        <w:autoSpaceDN/>
        <w:bidi w:val="0"/>
        <w:adjustRightInd/>
        <w:spacing w:line="560" w:lineRule="exact"/>
        <w:ind w:left="0" w:firstLine="640" w:firstLineChars="200"/>
        <w:jc w:val="left"/>
        <w:rPr>
          <w:rFonts w:eastAsia="仿宋_GB2312"/>
          <w:bCs/>
          <w:sz w:val="32"/>
          <w:szCs w:val="32"/>
        </w:rPr>
      </w:pPr>
      <w:r>
        <w:rPr>
          <w:rFonts w:hint="eastAsia" w:eastAsia="仿宋_GB2312"/>
          <w:bCs/>
          <w:sz w:val="32"/>
          <w:szCs w:val="32"/>
        </w:rPr>
        <w:t>（一）加强新行政单位会计制度和新预算法学习培训，规范账务处理，加强新《预算法》、《行政单位会计制度》 、《会计法》 、《行政单位财务规则》等学习培训,规范单位预算收支核算。制定和完善基本支出、项目支出等各项支出标准,严格按项目和进度执行预算, 增强预算的约束力和严肃性；落实预算执行分析,及时了解预算执行差异,合理调整、纠正预算执行偏差，切实提高单位预算收支管理水平。尽可能地做到决算与预算相衔接。</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（二）完善管理制度,进一步加强资产管理</w:t>
      </w:r>
      <w:r>
        <w:rPr>
          <w:rFonts w:hint="eastAsia" w:eastAsia="仿宋_GB2312"/>
          <w:bCs/>
          <w:sz w:val="32"/>
          <w:szCs w:val="32"/>
        </w:rPr>
        <w:br w:type="textWrapping"/>
      </w:r>
      <w:r>
        <w:rPr>
          <w:rFonts w:hint="eastAsia" w:eastAsia="仿宋_GB2312"/>
          <w:bCs/>
          <w:sz w:val="32"/>
          <w:szCs w:val="32"/>
        </w:rPr>
        <w:t>严格按照《固定资产管理办法》的规定加强固定资产管理,及时登记、更新台账，加强资产卡片管理,对各类实物资产进行全面盘点,确保账账、账实相符。</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（三）加强学习如何科学合理制定绩效目标及考核体系，充分发挥绩效工作效用。</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（四）财务上，会计核算要更加详细，为本单位各项工作的开展、总结、评估提供有效数据资料支撑,为各项业务工作更好的开展提供帮助。</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（五）从源头上强化对专项资金预算管理</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实行专项资金预算管理，结合单位实际, 按轻重缓急统筹安排编制预算,提高预算编制科学性和合理性,优化资金结构。</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（六）按时间进度分解资金使用计划</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专项资金的使用，要事前做计划，事中进行控制，事后总结提高。合理安排资金使用,充分体现资金投向的目标和效益。</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（七）进一步提高绩效管理水平</w:t>
      </w:r>
      <w:r>
        <w:rPr>
          <w:rFonts w:hint="eastAsia" w:eastAsia="仿宋_GB2312"/>
          <w:bCs/>
          <w:sz w:val="32"/>
          <w:szCs w:val="32"/>
        </w:rPr>
        <w:br w:type="textWrapping"/>
      </w:r>
      <w:r>
        <w:rPr>
          <w:rFonts w:hint="eastAsia" w:eastAsia="仿宋_GB2312"/>
          <w:bCs/>
          <w:sz w:val="32"/>
          <w:szCs w:val="32"/>
          <w:lang w:val="en-US" w:eastAsia="zh-CN"/>
        </w:rPr>
        <w:t xml:space="preserve">    </w:t>
      </w:r>
      <w:r>
        <w:rPr>
          <w:rFonts w:hint="eastAsia" w:eastAsia="仿宋_GB2312"/>
          <w:bCs/>
          <w:sz w:val="32"/>
          <w:szCs w:val="32"/>
        </w:rPr>
        <w:t>由于目前的预算管理在编制和实施中还存在编制不细、预算调整较多、追加预算比重较大等现象,因此项目预算执行的准确性还有待加强,同时分析手段和技术水平上还有待完善。在今后的工作中,我们将加强与财政单位的紧密配合,开展好整体支出及项目资金绩效管理工作,运用好绩效评价的结果,不断提升预算管理水平。</w:t>
      </w:r>
    </w:p>
    <w:p w14:paraId="52346782">
      <w:pPr>
        <w:keepNext w:val="0"/>
        <w:keepLines w:val="0"/>
        <w:pageBreakBefore w:val="0"/>
        <w:kinsoku/>
        <w:wordWrap/>
        <w:overflowPunct/>
        <w:topLinePunct w:val="0"/>
        <w:autoSpaceDE/>
        <w:autoSpaceDN/>
        <w:bidi w:val="0"/>
        <w:adjustRightInd/>
        <w:spacing w:line="560" w:lineRule="exact"/>
        <w:ind w:left="0" w:firstLine="420" w:firstLineChars="200"/>
      </w:pPr>
    </w:p>
    <w:bookmarkEnd w:id="1"/>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42C1E"/>
    <w:multiLevelType w:val="singleLevel"/>
    <w:tmpl w:val="02D42C1E"/>
    <w:lvl w:ilvl="0" w:tentative="0">
      <w:start w:val="1"/>
      <w:numFmt w:val="chineseCounting"/>
      <w:suff w:val="nothing"/>
      <w:lvlText w:val="（%1）"/>
      <w:lvlJc w:val="left"/>
      <w:rPr>
        <w:rFonts w:hint="eastAsia"/>
      </w:rPr>
    </w:lvl>
  </w:abstractNum>
  <w:abstractNum w:abstractNumId="1">
    <w:nsid w:val="69703BB8"/>
    <w:multiLevelType w:val="multilevel"/>
    <w:tmpl w:val="69703BB8"/>
    <w:lvl w:ilvl="0" w:tentative="0">
      <w:start w:val="1"/>
      <w:numFmt w:val="japaneseCounting"/>
      <w:lvlText w:val="%1、"/>
      <w:lvlJc w:val="left"/>
      <w:pPr>
        <w:ind w:left="1368" w:hanging="720"/>
      </w:pPr>
      <w:rPr>
        <w:rFonts w:hint="default"/>
      </w:rPr>
    </w:lvl>
    <w:lvl w:ilvl="1" w:tentative="0">
      <w:start w:val="1"/>
      <w:numFmt w:val="lowerLetter"/>
      <w:lvlText w:val="%2)"/>
      <w:lvlJc w:val="left"/>
      <w:pPr>
        <w:ind w:left="1488" w:hanging="420"/>
      </w:pPr>
    </w:lvl>
    <w:lvl w:ilvl="2" w:tentative="0">
      <w:start w:val="1"/>
      <w:numFmt w:val="lowerRoman"/>
      <w:lvlText w:val="%3."/>
      <w:lvlJc w:val="right"/>
      <w:pPr>
        <w:ind w:left="1908" w:hanging="420"/>
      </w:pPr>
    </w:lvl>
    <w:lvl w:ilvl="3" w:tentative="0">
      <w:start w:val="1"/>
      <w:numFmt w:val="decimal"/>
      <w:lvlText w:val="%4."/>
      <w:lvlJc w:val="left"/>
      <w:pPr>
        <w:ind w:left="2328" w:hanging="420"/>
      </w:pPr>
    </w:lvl>
    <w:lvl w:ilvl="4" w:tentative="0">
      <w:start w:val="1"/>
      <w:numFmt w:val="lowerLetter"/>
      <w:lvlText w:val="%5)"/>
      <w:lvlJc w:val="left"/>
      <w:pPr>
        <w:ind w:left="2748" w:hanging="420"/>
      </w:pPr>
    </w:lvl>
    <w:lvl w:ilvl="5" w:tentative="0">
      <w:start w:val="1"/>
      <w:numFmt w:val="lowerRoman"/>
      <w:lvlText w:val="%6."/>
      <w:lvlJc w:val="right"/>
      <w:pPr>
        <w:ind w:left="3168" w:hanging="420"/>
      </w:pPr>
    </w:lvl>
    <w:lvl w:ilvl="6" w:tentative="0">
      <w:start w:val="1"/>
      <w:numFmt w:val="decimal"/>
      <w:lvlText w:val="%7."/>
      <w:lvlJc w:val="left"/>
      <w:pPr>
        <w:ind w:left="3588" w:hanging="420"/>
      </w:pPr>
    </w:lvl>
    <w:lvl w:ilvl="7" w:tentative="0">
      <w:start w:val="1"/>
      <w:numFmt w:val="lowerLetter"/>
      <w:lvlText w:val="%8)"/>
      <w:lvlJc w:val="left"/>
      <w:pPr>
        <w:ind w:left="4008" w:hanging="420"/>
      </w:pPr>
    </w:lvl>
    <w:lvl w:ilvl="8" w:tentative="0">
      <w:start w:val="1"/>
      <w:numFmt w:val="lowerRoman"/>
      <w:lvlText w:val="%9."/>
      <w:lvlJc w:val="right"/>
      <w:pPr>
        <w:ind w:left="442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MGZkNjE1MjcwNDM2NmI3NGE1MWI3ZGYzZmJlYTcifQ=="/>
  </w:docVars>
  <w:rsids>
    <w:rsidRoot w:val="00EB3604"/>
    <w:rsid w:val="00021B05"/>
    <w:rsid w:val="000B791B"/>
    <w:rsid w:val="001C7F2C"/>
    <w:rsid w:val="00260A92"/>
    <w:rsid w:val="00340E58"/>
    <w:rsid w:val="0034488A"/>
    <w:rsid w:val="003E45AA"/>
    <w:rsid w:val="00486CD9"/>
    <w:rsid w:val="00584481"/>
    <w:rsid w:val="00653C1A"/>
    <w:rsid w:val="006D638A"/>
    <w:rsid w:val="0072543F"/>
    <w:rsid w:val="007A5D83"/>
    <w:rsid w:val="007A798C"/>
    <w:rsid w:val="007B51CE"/>
    <w:rsid w:val="007D7702"/>
    <w:rsid w:val="007E47F4"/>
    <w:rsid w:val="007F0F7C"/>
    <w:rsid w:val="00892E0B"/>
    <w:rsid w:val="008F0DCE"/>
    <w:rsid w:val="00916058"/>
    <w:rsid w:val="00AB72C1"/>
    <w:rsid w:val="00C10BB4"/>
    <w:rsid w:val="00CE0C6C"/>
    <w:rsid w:val="00DB647F"/>
    <w:rsid w:val="00DC7E33"/>
    <w:rsid w:val="00E40ABD"/>
    <w:rsid w:val="00E8616A"/>
    <w:rsid w:val="00EB3604"/>
    <w:rsid w:val="020B07BA"/>
    <w:rsid w:val="02656D15"/>
    <w:rsid w:val="06696209"/>
    <w:rsid w:val="0C182FEF"/>
    <w:rsid w:val="0CC954FA"/>
    <w:rsid w:val="0D1922F1"/>
    <w:rsid w:val="10DF6E84"/>
    <w:rsid w:val="1438599A"/>
    <w:rsid w:val="1F4E026F"/>
    <w:rsid w:val="200F4073"/>
    <w:rsid w:val="24B86128"/>
    <w:rsid w:val="34173398"/>
    <w:rsid w:val="466A3447"/>
    <w:rsid w:val="51C70EA9"/>
    <w:rsid w:val="54F842B6"/>
    <w:rsid w:val="55F2255C"/>
    <w:rsid w:val="64F5745B"/>
    <w:rsid w:val="656071F2"/>
    <w:rsid w:val="6BF1756B"/>
    <w:rsid w:val="6F5E1AA3"/>
    <w:rsid w:val="76E23ADD"/>
    <w:rsid w:val="7F200B83"/>
    <w:rsid w:val="7F5D585A"/>
    <w:rsid w:val="B779E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市财政资金综合评价中心</Company>
  <Pages>13</Pages>
  <Words>5504</Words>
  <Characters>6375</Characters>
  <Lines>2</Lines>
  <Paragraphs>1</Paragraphs>
  <TotalTime>9</TotalTime>
  <ScaleCrop>false</ScaleCrop>
  <LinksUpToDate>false</LinksUpToDate>
  <CharactersWithSpaces>6406</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2025-04-28T13:06:00Z</dcterms:created>
  <dc:creator>hongbing liu</dc:creator>
  <cp:lastModifiedBy>Administrator</cp:lastModifiedBy>
  <dcterms:modified xsi:type="dcterms:W3CDTF">2025-11-11T03:12:22Z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4E2A216151A24EE5A190066F518526B7</vt:lpwstr>
  </property>
</Properties>
</file>